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D2" w:rsidRPr="003666D2" w:rsidRDefault="003666D2" w:rsidP="003666D2">
      <w:pPr>
        <w:keepNext/>
        <w:keepLines/>
        <w:spacing w:after="0" w:line="360" w:lineRule="auto"/>
        <w:jc w:val="center"/>
        <w:outlineLvl w:val="0"/>
        <w:rPr>
          <w:rFonts w:ascii="Times New Roman" w:eastAsiaTheme="majorEastAsia" w:hAnsi="Times New Roman" w:cs="Times New Roman"/>
          <w:b/>
          <w:bCs/>
          <w:sz w:val="28"/>
          <w:szCs w:val="28"/>
          <w:lang w:eastAsia="lt-LT"/>
        </w:rPr>
      </w:pPr>
      <w:bookmarkStart w:id="0" w:name="_Toc409578868"/>
      <w:r w:rsidRPr="003666D2">
        <w:rPr>
          <w:rFonts w:ascii="Times New Roman" w:eastAsiaTheme="majorEastAsia" w:hAnsi="Times New Roman" w:cs="Times New Roman"/>
          <w:b/>
          <w:bCs/>
          <w:sz w:val="28"/>
          <w:szCs w:val="28"/>
          <w:lang w:eastAsia="lt-LT"/>
        </w:rPr>
        <w:t>2. KĖDAINIŲ RAJONO ŠĖTOS SENIŪNIJOS GYVENTOJŲ POREIKIO BUITINĖMS PASLAUGOMS TYRIMAS</w:t>
      </w:r>
      <w:bookmarkEnd w:id="0"/>
    </w:p>
    <w:p w:rsidR="003666D2" w:rsidRPr="003666D2" w:rsidRDefault="003666D2" w:rsidP="003666D2">
      <w:pPr>
        <w:keepNext/>
        <w:keepLines/>
        <w:spacing w:after="0" w:line="360" w:lineRule="auto"/>
        <w:jc w:val="center"/>
        <w:outlineLvl w:val="1"/>
        <w:rPr>
          <w:rFonts w:ascii="Times New Roman" w:eastAsiaTheme="majorEastAsia" w:hAnsi="Times New Roman" w:cs="Times New Roman"/>
          <w:b/>
          <w:bCs/>
          <w:sz w:val="24"/>
          <w:szCs w:val="26"/>
          <w:lang w:eastAsia="en-GB"/>
        </w:rPr>
      </w:pPr>
      <w:bookmarkStart w:id="1" w:name="_Toc399598057"/>
      <w:bookmarkStart w:id="2" w:name="_Toc400820154"/>
      <w:bookmarkStart w:id="3" w:name="_Toc400820284"/>
      <w:bookmarkStart w:id="4" w:name="_Toc400820330"/>
      <w:bookmarkStart w:id="5" w:name="_Toc409578869"/>
      <w:r w:rsidRPr="003666D2">
        <w:rPr>
          <w:rFonts w:ascii="Times New Roman" w:eastAsiaTheme="majorEastAsia" w:hAnsi="Times New Roman" w:cs="Times New Roman"/>
          <w:b/>
          <w:bCs/>
          <w:sz w:val="24"/>
          <w:szCs w:val="26"/>
          <w:lang w:eastAsia="en-GB"/>
        </w:rPr>
        <w:t>2.1. Tyrimo metodika</w:t>
      </w:r>
      <w:bookmarkEnd w:id="1"/>
      <w:bookmarkEnd w:id="2"/>
      <w:bookmarkEnd w:id="3"/>
      <w:bookmarkEnd w:id="4"/>
      <w:bookmarkEnd w:id="5"/>
    </w:p>
    <w:p w:rsidR="003666D2" w:rsidRPr="003666D2" w:rsidRDefault="003666D2" w:rsidP="003666D2">
      <w:pPr>
        <w:spacing w:after="0" w:line="360" w:lineRule="auto"/>
        <w:jc w:val="center"/>
        <w:rPr>
          <w:rFonts w:ascii="Times New Roman" w:eastAsia="Times New Roman" w:hAnsi="Times New Roman" w:cs="Times New Roman"/>
          <w:b/>
          <w:sz w:val="24"/>
          <w:szCs w:val="24"/>
          <w:lang w:eastAsia="en-GB"/>
        </w:rPr>
      </w:pPr>
    </w:p>
    <w:p w:rsidR="003666D2" w:rsidRPr="003666D2" w:rsidRDefault="003666D2" w:rsidP="003666D2">
      <w:pPr>
        <w:tabs>
          <w:tab w:val="left" w:pos="3615"/>
        </w:tabs>
        <w:spacing w:after="0" w:line="360" w:lineRule="auto"/>
        <w:ind w:firstLine="720"/>
        <w:contextualSpacing/>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b/>
          <w:sz w:val="24"/>
          <w:szCs w:val="24"/>
          <w:lang w:eastAsia="en-GB"/>
        </w:rPr>
        <w:t>Tyrimo tikslas</w:t>
      </w:r>
      <w:r w:rsidRPr="003666D2">
        <w:rPr>
          <w:rFonts w:ascii="Times New Roman" w:eastAsia="Times New Roman" w:hAnsi="Times New Roman" w:cs="Times New Roman"/>
          <w:sz w:val="24"/>
          <w:szCs w:val="24"/>
          <w:lang w:eastAsia="en-GB"/>
        </w:rPr>
        <w:t xml:space="preserve"> – išsiaiškinti Šėtos seniūnijos (Kėdainių raj.) gyventojų poreikius buitinėms paslaugoms, nustatyti esamas problemas bei verslumo galimybes seniūnijoje ir pasiūlyti priemonę – įsteigti organizaciją tiems poreikiams įgyvendinti.</w:t>
      </w:r>
    </w:p>
    <w:p w:rsidR="003666D2" w:rsidRPr="003666D2" w:rsidRDefault="003666D2" w:rsidP="003666D2">
      <w:pPr>
        <w:tabs>
          <w:tab w:val="left" w:pos="3615"/>
        </w:tabs>
        <w:spacing w:after="0" w:line="360" w:lineRule="auto"/>
        <w:ind w:firstLine="720"/>
        <w:contextualSpacing/>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b/>
          <w:sz w:val="24"/>
          <w:szCs w:val="24"/>
          <w:lang w:eastAsia="en-GB"/>
        </w:rPr>
        <w:t>Tyrimo objektas</w:t>
      </w:r>
      <w:r w:rsidRPr="003666D2">
        <w:rPr>
          <w:rFonts w:ascii="Times New Roman" w:eastAsia="Times New Roman" w:hAnsi="Times New Roman" w:cs="Times New Roman"/>
          <w:sz w:val="24"/>
          <w:szCs w:val="24"/>
          <w:lang w:eastAsia="en-GB"/>
        </w:rPr>
        <w:t xml:space="preserve"> – Šėtos seniūnijos gyventojų poreikis viešosioms paslaugoms. </w:t>
      </w:r>
    </w:p>
    <w:p w:rsidR="003666D2" w:rsidRPr="003666D2" w:rsidRDefault="003666D2" w:rsidP="003666D2">
      <w:pPr>
        <w:tabs>
          <w:tab w:val="left" w:pos="3615"/>
        </w:tabs>
        <w:spacing w:after="0" w:line="360" w:lineRule="auto"/>
        <w:ind w:firstLine="720"/>
        <w:contextualSpacing/>
        <w:jc w:val="both"/>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 xml:space="preserve">Tyrimo metodai: </w:t>
      </w:r>
    </w:p>
    <w:p w:rsidR="003666D2" w:rsidRPr="003666D2" w:rsidRDefault="003666D2" w:rsidP="003666D2">
      <w:pPr>
        <w:numPr>
          <w:ilvl w:val="0"/>
          <w:numId w:val="1"/>
        </w:numPr>
        <w:tabs>
          <w:tab w:val="left" w:pos="3615"/>
        </w:tabs>
        <w:spacing w:after="0" w:line="360" w:lineRule="auto"/>
        <w:ind w:left="1077" w:hanging="357"/>
        <w:contextualSpacing/>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seniūnijos gyventojų anketinė apklausa;</w:t>
      </w:r>
    </w:p>
    <w:p w:rsidR="003666D2" w:rsidRPr="003666D2" w:rsidRDefault="003666D2" w:rsidP="003666D2">
      <w:pPr>
        <w:numPr>
          <w:ilvl w:val="0"/>
          <w:numId w:val="1"/>
        </w:numPr>
        <w:tabs>
          <w:tab w:val="left" w:pos="3615"/>
        </w:tabs>
        <w:spacing w:after="0" w:line="360" w:lineRule="auto"/>
        <w:ind w:left="1077" w:hanging="357"/>
        <w:contextualSpacing/>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antrinių duomenų analizė;</w:t>
      </w:r>
    </w:p>
    <w:p w:rsidR="003666D2" w:rsidRPr="003666D2" w:rsidRDefault="003666D2" w:rsidP="003666D2">
      <w:pPr>
        <w:numPr>
          <w:ilvl w:val="0"/>
          <w:numId w:val="1"/>
        </w:numPr>
        <w:tabs>
          <w:tab w:val="left" w:pos="3615"/>
        </w:tabs>
        <w:spacing w:after="0" w:line="360" w:lineRule="auto"/>
        <w:ind w:left="1077" w:hanging="357"/>
        <w:contextualSpacing/>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duomenų apdorojimas </w:t>
      </w:r>
      <w:r w:rsidRPr="003666D2">
        <w:rPr>
          <w:rFonts w:ascii="Times New Roman" w:eastAsia="Times New Roman" w:hAnsi="Times New Roman" w:cs="Times New Roman"/>
          <w:i/>
          <w:sz w:val="24"/>
          <w:szCs w:val="24"/>
          <w:lang w:eastAsia="en-GB"/>
        </w:rPr>
        <w:t>IBM SPSS for Windows</w:t>
      </w:r>
      <w:r w:rsidRPr="003666D2">
        <w:rPr>
          <w:rFonts w:ascii="Times New Roman" w:eastAsia="Times New Roman" w:hAnsi="Times New Roman" w:cs="Times New Roman"/>
          <w:sz w:val="24"/>
          <w:szCs w:val="24"/>
          <w:lang w:eastAsia="en-GB"/>
        </w:rPr>
        <w:t xml:space="preserve">, grafinis vaizdavimas </w:t>
      </w:r>
      <w:r w:rsidRPr="003666D2">
        <w:rPr>
          <w:rFonts w:ascii="Times New Roman" w:eastAsia="Times New Roman" w:hAnsi="Times New Roman" w:cs="Times New Roman"/>
          <w:i/>
          <w:sz w:val="24"/>
          <w:szCs w:val="24"/>
          <w:lang w:eastAsia="en-GB"/>
        </w:rPr>
        <w:t>MS Excel</w:t>
      </w:r>
      <w:r w:rsidRPr="003666D2">
        <w:rPr>
          <w:rFonts w:ascii="Times New Roman" w:eastAsia="Times New Roman" w:hAnsi="Times New Roman" w:cs="Times New Roman"/>
          <w:sz w:val="24"/>
          <w:szCs w:val="24"/>
          <w:lang w:eastAsia="en-GB"/>
        </w:rPr>
        <w:t xml:space="preserve"> programomis.</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Tyrimo duomenų apdorojimui naudota IBM SPSS programa, o grafiniam vaizdavimui MS Excel.</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keepNext/>
        <w:keepLines/>
        <w:spacing w:after="0" w:line="360" w:lineRule="auto"/>
        <w:jc w:val="center"/>
        <w:outlineLvl w:val="1"/>
        <w:rPr>
          <w:rFonts w:ascii="Times New Roman" w:eastAsiaTheme="majorEastAsia" w:hAnsi="Times New Roman" w:cs="Times New Roman"/>
          <w:b/>
          <w:bCs/>
          <w:sz w:val="24"/>
          <w:szCs w:val="26"/>
          <w:lang w:eastAsia="en-GB"/>
        </w:rPr>
      </w:pPr>
      <w:bookmarkStart w:id="6" w:name="_Toc409578870"/>
      <w:r w:rsidRPr="003666D2">
        <w:rPr>
          <w:rFonts w:ascii="Times New Roman" w:eastAsiaTheme="majorEastAsia" w:hAnsi="Times New Roman" w:cs="Times New Roman"/>
          <w:b/>
          <w:bCs/>
          <w:sz w:val="24"/>
          <w:szCs w:val="26"/>
          <w:lang w:eastAsia="en-GB"/>
        </w:rPr>
        <w:t>2.2 Tyrimo rezultatai ir jų analizė</w:t>
      </w:r>
      <w:bookmarkEnd w:id="6"/>
    </w:p>
    <w:p w:rsidR="003666D2" w:rsidRPr="003666D2" w:rsidRDefault="003666D2" w:rsidP="003666D2">
      <w:pPr>
        <w:keepNext/>
        <w:keepLines/>
        <w:spacing w:after="0" w:line="360" w:lineRule="auto"/>
        <w:jc w:val="center"/>
        <w:outlineLvl w:val="2"/>
        <w:rPr>
          <w:rFonts w:ascii="Times New Roman" w:eastAsiaTheme="majorEastAsia" w:hAnsi="Times New Roman" w:cs="Times New Roman"/>
          <w:b/>
          <w:bCs/>
          <w:sz w:val="24"/>
          <w:szCs w:val="24"/>
          <w:lang w:eastAsia="en-GB"/>
        </w:rPr>
      </w:pPr>
      <w:bookmarkStart w:id="7" w:name="_Toc409578871"/>
      <w:r w:rsidRPr="003666D2">
        <w:rPr>
          <w:rFonts w:ascii="Times New Roman" w:eastAsiaTheme="majorEastAsia" w:hAnsi="Times New Roman" w:cs="Times New Roman"/>
          <w:b/>
          <w:bCs/>
          <w:sz w:val="24"/>
          <w:szCs w:val="24"/>
          <w:lang w:eastAsia="en-GB"/>
        </w:rPr>
        <w:t>2.2.1 Respondentų charakteristika</w:t>
      </w:r>
      <w:bookmarkEnd w:id="7"/>
    </w:p>
    <w:p w:rsidR="003666D2" w:rsidRPr="003666D2" w:rsidRDefault="003666D2" w:rsidP="003666D2">
      <w:pPr>
        <w:spacing w:after="0" w:line="360" w:lineRule="auto"/>
        <w:jc w:val="center"/>
        <w:rPr>
          <w:rFonts w:ascii="Times New Roman" w:eastAsia="Times New Roman" w:hAnsi="Times New Roman" w:cs="Times New Roman"/>
          <w:b/>
          <w:sz w:val="24"/>
          <w:szCs w:val="24"/>
          <w:lang w:eastAsia="en-GB"/>
        </w:rPr>
      </w:pPr>
    </w:p>
    <w:p w:rsidR="003666D2" w:rsidRPr="003666D2" w:rsidRDefault="003666D2" w:rsidP="003666D2">
      <w:pPr>
        <w:tabs>
          <w:tab w:val="left" w:pos="3615"/>
        </w:tabs>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Atliekant anketinę apklausą buvo apklausti 472 respondentai (anketa pateikta x priede). Gauti duomenys apdoroti IBM SPSS programa, o grafikai pavaizduoti MS Excel programa.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Žemiau pateikiamas kiekvieno klausimo gautų duomenų analizė.</w:t>
      </w:r>
    </w:p>
    <w:p w:rsidR="003666D2" w:rsidRPr="003666D2" w:rsidRDefault="003666D2" w:rsidP="003666D2">
      <w:pPr>
        <w:spacing w:after="0" w:line="360" w:lineRule="auto"/>
        <w:ind w:firstLine="720"/>
        <w:rPr>
          <w:rFonts w:ascii="Times New Roman" w:eastAsia="Times New Roman" w:hAnsi="Times New Roman" w:cs="Times New Roman"/>
          <w:b/>
          <w:sz w:val="24"/>
          <w:szCs w:val="24"/>
          <w:lang w:eastAsia="en-GB"/>
        </w:rPr>
      </w:pPr>
    </w:p>
    <w:p w:rsidR="003666D2" w:rsidRPr="003666D2" w:rsidRDefault="003666D2" w:rsidP="003666D2">
      <w:pPr>
        <w:numPr>
          <w:ilvl w:val="0"/>
          <w:numId w:val="3"/>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lentelė. Respondentų gyvenamosios vietos pasiskirstymas</w:t>
      </w:r>
    </w:p>
    <w:tbl>
      <w:tblPr>
        <w:tblStyle w:val="TableGrid"/>
        <w:tblW w:w="0" w:type="auto"/>
        <w:jc w:val="center"/>
        <w:tblLook w:val="04A0" w:firstRow="1" w:lastRow="0" w:firstColumn="1" w:lastColumn="0" w:noHBand="0" w:noVBand="1"/>
      </w:tblPr>
      <w:tblGrid>
        <w:gridCol w:w="2220"/>
        <w:gridCol w:w="1665"/>
        <w:gridCol w:w="1665"/>
      </w:tblGrid>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Vietovė</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Respondentų skaičius</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Procentai</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4"/>
                <w:lang w:eastAsia="en-GB"/>
              </w:rPr>
            </w:pPr>
            <w:r w:rsidRPr="003666D2">
              <w:rPr>
                <w:rFonts w:ascii="Times New Roman" w:eastAsia="Times New Roman" w:hAnsi="Times New Roman" w:cs="Times New Roman"/>
                <w:color w:val="000000"/>
                <w:sz w:val="20"/>
                <w:szCs w:val="24"/>
                <w:lang w:eastAsia="en-GB"/>
              </w:rPr>
              <w:t>Šėtos miestelis</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p>
          <w:tbl>
            <w:tblPr>
              <w:tblW w:w="1421" w:type="dxa"/>
              <w:tblLook w:val="04A0" w:firstRow="1" w:lastRow="0" w:firstColumn="1" w:lastColumn="0" w:noHBand="0" w:noVBand="1"/>
            </w:tblPr>
            <w:tblGrid>
              <w:gridCol w:w="1421"/>
            </w:tblGrid>
            <w:tr w:rsidR="003666D2" w:rsidRPr="003666D2" w:rsidTr="00C03D80">
              <w:trPr>
                <w:trHeight w:val="153"/>
              </w:trPr>
              <w:tc>
                <w:tcPr>
                  <w:tcW w:w="1421" w:type="dxa"/>
                  <w:tcBorders>
                    <w:top w:val="nil"/>
                    <w:left w:val="nil"/>
                    <w:bottom w:val="nil"/>
                    <w:right w:val="nil"/>
                  </w:tcBorders>
                  <w:shd w:val="clear" w:color="auto" w:fill="auto"/>
                  <w:noWrap/>
                  <w:vAlign w:val="center"/>
                  <w:hideMark/>
                </w:tcPr>
                <w:p w:rsidR="003666D2" w:rsidRPr="003666D2" w:rsidRDefault="003666D2" w:rsidP="003666D2">
                  <w:pPr>
                    <w:spacing w:after="0" w:line="240" w:lineRule="auto"/>
                    <w:jc w:val="center"/>
                    <w:rPr>
                      <w:rFonts w:ascii="Times New Roman" w:eastAsia="Times New Roman" w:hAnsi="Times New Roman" w:cs="Times New Roman"/>
                      <w:color w:val="000000"/>
                      <w:sz w:val="20"/>
                      <w:szCs w:val="24"/>
                      <w:lang w:eastAsia="lt-LT"/>
                    </w:rPr>
                  </w:pPr>
                  <w:r w:rsidRPr="003666D2">
                    <w:rPr>
                      <w:rFonts w:ascii="Times New Roman" w:eastAsia="Times New Roman" w:hAnsi="Times New Roman" w:cs="Times New Roman"/>
                      <w:color w:val="000000"/>
                      <w:sz w:val="20"/>
                      <w:szCs w:val="24"/>
                      <w:lang w:eastAsia="lt-LT"/>
                    </w:rPr>
                    <w:t>241</w:t>
                  </w:r>
                </w:p>
              </w:tc>
            </w:tr>
            <w:tr w:rsidR="003666D2" w:rsidRPr="003666D2" w:rsidTr="00C03D80">
              <w:trPr>
                <w:trHeight w:val="153"/>
              </w:trPr>
              <w:tc>
                <w:tcPr>
                  <w:tcW w:w="1421" w:type="dxa"/>
                  <w:tcBorders>
                    <w:top w:val="nil"/>
                    <w:left w:val="nil"/>
                    <w:bottom w:val="nil"/>
                    <w:right w:val="nil"/>
                  </w:tcBorders>
                  <w:shd w:val="clear" w:color="auto" w:fill="auto"/>
                  <w:noWrap/>
                  <w:vAlign w:val="bottom"/>
                  <w:hideMark/>
                </w:tcPr>
                <w:p w:rsidR="003666D2" w:rsidRPr="003666D2" w:rsidRDefault="003666D2" w:rsidP="003666D2">
                  <w:pPr>
                    <w:spacing w:after="0" w:line="240" w:lineRule="auto"/>
                    <w:jc w:val="center"/>
                    <w:rPr>
                      <w:rFonts w:ascii="Times New Roman" w:eastAsia="Times New Roman" w:hAnsi="Times New Roman" w:cs="Times New Roman"/>
                      <w:color w:val="000000"/>
                      <w:sz w:val="20"/>
                      <w:szCs w:val="24"/>
                      <w:lang w:eastAsia="lt-LT"/>
                    </w:rPr>
                  </w:pPr>
                </w:p>
              </w:tc>
            </w:tr>
          </w:tbl>
          <w:p w:rsidR="003666D2" w:rsidRPr="003666D2" w:rsidRDefault="003666D2" w:rsidP="003666D2">
            <w:pPr>
              <w:jc w:val="center"/>
              <w:rPr>
                <w:rFonts w:ascii="Times New Roman" w:eastAsia="Times New Roman" w:hAnsi="Times New Roman" w:cs="Times New Roman"/>
                <w:sz w:val="20"/>
                <w:szCs w:val="24"/>
                <w:lang w:eastAsia="en-GB"/>
              </w:rPr>
            </w:pPr>
          </w:p>
        </w:tc>
        <w:tc>
          <w:tcPr>
            <w:tcW w:w="1665" w:type="dxa"/>
            <w:vAlign w:val="center"/>
          </w:tcPr>
          <w:tbl>
            <w:tblPr>
              <w:tblW w:w="940" w:type="dxa"/>
              <w:tblLook w:val="04A0" w:firstRow="1" w:lastRow="0" w:firstColumn="1" w:lastColumn="0" w:noHBand="0" w:noVBand="1"/>
            </w:tblPr>
            <w:tblGrid>
              <w:gridCol w:w="940"/>
            </w:tblGrid>
            <w:tr w:rsidR="003666D2" w:rsidRPr="003666D2" w:rsidTr="00C03D80">
              <w:trPr>
                <w:trHeight w:val="153"/>
              </w:trPr>
              <w:tc>
                <w:tcPr>
                  <w:tcW w:w="940" w:type="dxa"/>
                  <w:tcBorders>
                    <w:top w:val="nil"/>
                    <w:left w:val="nil"/>
                    <w:bottom w:val="nil"/>
                    <w:right w:val="nil"/>
                  </w:tcBorders>
                  <w:shd w:val="clear" w:color="auto" w:fill="auto"/>
                  <w:noWrap/>
                  <w:vAlign w:val="center"/>
                  <w:hideMark/>
                </w:tcPr>
                <w:p w:rsidR="003666D2" w:rsidRPr="003666D2" w:rsidRDefault="003666D2" w:rsidP="003666D2">
                  <w:pPr>
                    <w:spacing w:after="0" w:line="240" w:lineRule="auto"/>
                    <w:jc w:val="center"/>
                    <w:rPr>
                      <w:rFonts w:ascii="Times New Roman" w:eastAsia="Times New Roman" w:hAnsi="Times New Roman" w:cs="Times New Roman"/>
                      <w:color w:val="000000"/>
                      <w:sz w:val="20"/>
                      <w:szCs w:val="24"/>
                      <w:lang w:eastAsia="lt-LT"/>
                    </w:rPr>
                  </w:pPr>
                  <w:r w:rsidRPr="003666D2">
                    <w:rPr>
                      <w:rFonts w:ascii="Times New Roman" w:eastAsia="Times New Roman" w:hAnsi="Times New Roman" w:cs="Times New Roman"/>
                      <w:color w:val="000000"/>
                      <w:sz w:val="20"/>
                      <w:szCs w:val="24"/>
                      <w:lang w:eastAsia="lt-LT"/>
                    </w:rPr>
                    <w:t xml:space="preserve">      51,1</w:t>
                  </w:r>
                </w:p>
              </w:tc>
            </w:tr>
          </w:tbl>
          <w:p w:rsidR="003666D2" w:rsidRPr="003666D2" w:rsidRDefault="003666D2" w:rsidP="003666D2">
            <w:pPr>
              <w:jc w:val="center"/>
              <w:rPr>
                <w:rFonts w:ascii="Times New Roman" w:eastAsia="Times New Roman" w:hAnsi="Times New Roman" w:cs="Times New Roman"/>
                <w:sz w:val="20"/>
                <w:szCs w:val="24"/>
                <w:lang w:eastAsia="en-GB"/>
              </w:rPr>
            </w:pP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4"/>
                <w:lang w:eastAsia="en-GB"/>
              </w:rPr>
            </w:pPr>
            <w:r w:rsidRPr="003666D2">
              <w:rPr>
                <w:rFonts w:ascii="Times New Roman" w:eastAsia="Times New Roman" w:hAnsi="Times New Roman" w:cs="Times New Roman"/>
                <w:color w:val="000000"/>
                <w:sz w:val="20"/>
                <w:szCs w:val="24"/>
                <w:lang w:eastAsia="en-GB"/>
              </w:rPr>
              <w:t>Pagiriai</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170</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36</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4"/>
                <w:lang w:eastAsia="en-GB"/>
              </w:rPr>
            </w:pPr>
            <w:r w:rsidRPr="003666D2">
              <w:rPr>
                <w:rFonts w:ascii="Times New Roman" w:eastAsia="Times New Roman" w:hAnsi="Times New Roman" w:cs="Times New Roman"/>
                <w:color w:val="000000"/>
                <w:sz w:val="20"/>
                <w:szCs w:val="24"/>
                <w:lang w:eastAsia="en-GB"/>
              </w:rPr>
              <w:t>Kapliai</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41</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8,7</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Sangailai</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16</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3,4</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Vaiškonys</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0,6</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Piliakalnis</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0,2</w:t>
            </w:r>
          </w:p>
        </w:tc>
      </w:tr>
      <w:tr w:rsidR="003666D2" w:rsidRPr="003666D2" w:rsidTr="00C03D80">
        <w:trPr>
          <w:trHeight w:val="447"/>
          <w:jc w:val="center"/>
        </w:trPr>
        <w:tc>
          <w:tcPr>
            <w:tcW w:w="2220" w:type="dxa"/>
            <w:vAlign w:val="center"/>
          </w:tcPr>
          <w:p w:rsidR="003666D2" w:rsidRPr="003666D2" w:rsidRDefault="003666D2" w:rsidP="003666D2">
            <w:pP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Iš viso</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color w:val="000000"/>
                <w:sz w:val="20"/>
                <w:szCs w:val="20"/>
                <w:lang w:eastAsia="lt-LT"/>
              </w:rPr>
              <w:t>472</w:t>
            </w:r>
          </w:p>
        </w:tc>
        <w:tc>
          <w:tcPr>
            <w:tcW w:w="1665" w:type="dxa"/>
            <w:vAlign w:val="center"/>
          </w:tcPr>
          <w:p w:rsidR="003666D2" w:rsidRPr="003666D2" w:rsidRDefault="003666D2" w:rsidP="003666D2">
            <w:pPr>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100</w:t>
            </w:r>
          </w:p>
        </w:tc>
      </w:tr>
    </w:tbl>
    <w:p w:rsidR="003666D2" w:rsidRPr="003666D2" w:rsidRDefault="003666D2" w:rsidP="003666D2">
      <w:pPr>
        <w:spacing w:after="0" w:line="360" w:lineRule="auto"/>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Iš lentelėje pateiktų duomenų matome, jog daugiau nei pusė, t.y. 51,1 %  respondentų yra iš Šėtos miestelio.</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Iš pateikto 4 paveikslo, aiškiai matyti, jog daugiausiai apklaustų respondentų amžiaus grupė yra 46 – 64 m. m., kuri atitinka 36,7 % visų apklaustųjų skaičiaus. Atitinkamai mažiausia apklaustųjų amžiaus grupė – 65 m. ir vyresni, kurie sudarė tik 65 respondentus arba 13,8 % visų respondentų skaičiaus. Iš šių duomenų galime daryti prielaidą, jog Šėtos seniūnijoje gyvena daugiau nei puse 46 m. ir vyresnių gyventojų, kurie sudaro 50,5% visų respondentų.</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62D7DE62" wp14:editId="0E7B5129">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3666D2" w:rsidRPr="003666D2" w:rsidRDefault="003666D2" w:rsidP="003666D2">
      <w:pPr>
        <w:numPr>
          <w:ilvl w:val="0"/>
          <w:numId w:val="2"/>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pav. Respondentų amžiaus grupės</w:t>
      </w: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Iš pateiktos diagramos (5 pav.), matome, jog apklausoje daugiau dalyvavo moterys, kurios atitinkamai sudarė 60,2 %.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lastRenderedPageBreak/>
        <w:drawing>
          <wp:inline distT="0" distB="0" distL="0" distR="0" wp14:anchorId="4F8629B1" wp14:editId="68FA563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66D2" w:rsidRPr="003666D2" w:rsidRDefault="003666D2" w:rsidP="003666D2">
      <w:pPr>
        <w:spacing w:after="0" w:line="360" w:lineRule="auto"/>
        <w:ind w:left="360"/>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6 pav. Šėtos seniūnijos respondentų skaičius pagal lytį, procentais</w:t>
      </w:r>
    </w:p>
    <w:p w:rsidR="003666D2" w:rsidRPr="003666D2" w:rsidRDefault="003666D2" w:rsidP="003666D2">
      <w:pPr>
        <w:spacing w:after="0" w:line="360" w:lineRule="auto"/>
        <w:ind w:left="1440"/>
        <w:contextualSpacing/>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Tuo tarpu vyrai sudaro tik 39,8 % (5 pav.), kurie atitinka 186.</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Analizuodami respondentų šeimoje kartu gyvenančių šeimos narių skaičių iš pateiktos diagramos duomenų pirmiausiai matome, jog didžioji respondentų dalis (37,9%) gyvena vieni. (x paveikslas).</w:t>
      </w: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66CAAA43" wp14:editId="07F2B93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6D2" w:rsidRPr="003666D2" w:rsidRDefault="003666D2" w:rsidP="003666D2">
      <w:pPr>
        <w:numPr>
          <w:ilvl w:val="0"/>
          <w:numId w:val="4"/>
        </w:numPr>
        <w:spacing w:after="0" w:line="36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pav. Respondentų šeimos narių skaičius, procentais</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Antrasis didžiausias (17,2%) respondentų šeimoje kartu gyvenančių narių skaičius – du asmenys. Mažiausioji dalis - 0,2 % respondentų šeimoje kartu gyvenančių narių skaičius, kuris prilygsta 10 – čiai asmenų. Tik 1,5 % ir 1,7 % gyvena su 6 ir 7 šeimos nariais. O šešių asmenų šeima sudaro tik 3,6% respondentų. Likusi respondentų šeimoje kartu gyvenančių vieno, trijų ir keturių asmenų skaičiaus dalis procentaliai atrodo labai panašiai. </w:t>
      </w: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lastRenderedPageBreak/>
        <w:drawing>
          <wp:inline distT="0" distB="0" distL="0" distR="0" wp14:anchorId="7EA02BF9" wp14:editId="61C3F7E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6D2" w:rsidRPr="003666D2" w:rsidRDefault="003666D2" w:rsidP="003666D2">
      <w:pPr>
        <w:numPr>
          <w:ilvl w:val="0"/>
          <w:numId w:val="4"/>
        </w:numPr>
        <w:spacing w:after="0" w:line="36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 xml:space="preserve"> pav. Respondentų šeimyninė padėtis, procentais</w:t>
      </w: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7 pav. diagrama parodo, jog 61% respondentų yra ištekėję/ vedę. Apytiksliai trečdaliu mažesnę dalį sudaro netekėję/ nevedę respondentai. 11,6% respondentų yra našliai/našlės, o tik 7,7% išsituokę/išsiskyrę. Atsižvelgiant į diagramos duomenis, galima teigti, jog Šėtos seniūnijos gyventojai neturi socialine problema tampančia – šeimos skyrybų problemos. </w:t>
      </w:r>
    </w:p>
    <w:p w:rsidR="003666D2" w:rsidRPr="003666D2" w:rsidRDefault="003666D2" w:rsidP="003666D2">
      <w:pPr>
        <w:tabs>
          <w:tab w:val="left" w:pos="567"/>
          <w:tab w:val="left" w:pos="930"/>
        </w:tabs>
        <w:spacing w:after="0" w:line="360" w:lineRule="auto"/>
        <w:ind w:firstLine="720"/>
        <w:jc w:val="both"/>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sz w:val="24"/>
          <w:szCs w:val="24"/>
          <w:lang w:eastAsia="en-GB"/>
        </w:rPr>
        <w:t xml:space="preserve">3 lentelės duomenys nurodo, jog  daugiausiai respondentų – 126 turi profesinį išsilavinimą, 99 – aukštesnįjį. Kiek mažiau respondentų, t.y. 95 baigė vidurinįjį mokslą ir atitinkamai 93 respondentai aukštajį. Pagrindinį išsilavinimą turi 40 respondentų, na, o mažiausia dalis respondentų dalis turi pradinį išsilavinimą.  Taigi remiantis tyrimo rezultatais, galime daryti išvadą, jog Šėtos seniūnijos gyventojai daugiausiai baigę profesinį  bei aukštesnįjį mokslą, o mažiausiai – pradinį ir pagrindinį. </w:t>
      </w:r>
    </w:p>
    <w:p w:rsidR="003666D2" w:rsidRPr="003666D2" w:rsidRDefault="003666D2" w:rsidP="003666D2">
      <w:pPr>
        <w:numPr>
          <w:ilvl w:val="0"/>
          <w:numId w:val="3"/>
        </w:numPr>
        <w:spacing w:after="0" w:line="36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lentelė. Respondentų išsilavinimas Šėtos seniūnijoje</w:t>
      </w:r>
    </w:p>
    <w:tbl>
      <w:tblPr>
        <w:tblStyle w:val="TableGrid"/>
        <w:tblW w:w="0" w:type="auto"/>
        <w:jc w:val="center"/>
        <w:tblLook w:val="04A0" w:firstRow="1" w:lastRow="0" w:firstColumn="1" w:lastColumn="0" w:noHBand="0" w:noVBand="1"/>
      </w:tblPr>
      <w:tblGrid>
        <w:gridCol w:w="2381"/>
        <w:gridCol w:w="2381"/>
      </w:tblGrid>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Išsilavinimas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Respondentų skaičius</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color w:val="000000"/>
                <w:sz w:val="24"/>
                <w:szCs w:val="24"/>
                <w:lang w:eastAsia="lt-LT"/>
              </w:rPr>
            </w:pPr>
            <w:r w:rsidRPr="003666D2">
              <w:rPr>
                <w:rFonts w:ascii="Times New Roman" w:eastAsia="Times New Roman" w:hAnsi="Times New Roman" w:cs="Times New Roman"/>
                <w:color w:val="000000"/>
                <w:sz w:val="24"/>
                <w:szCs w:val="24"/>
                <w:lang w:eastAsia="lt-LT"/>
              </w:rPr>
              <w:t>Profesinis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126</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color w:val="000000"/>
                <w:sz w:val="24"/>
                <w:szCs w:val="24"/>
                <w:lang w:eastAsia="lt-LT"/>
              </w:rPr>
            </w:pPr>
            <w:r w:rsidRPr="003666D2">
              <w:rPr>
                <w:rFonts w:ascii="Times New Roman" w:eastAsia="Times New Roman" w:hAnsi="Times New Roman" w:cs="Times New Roman"/>
                <w:color w:val="000000"/>
                <w:sz w:val="24"/>
                <w:szCs w:val="24"/>
                <w:lang w:eastAsia="lt-LT"/>
              </w:rPr>
              <w:t>Aukštesnysis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99</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Vidurinis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95</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Aukštasis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93</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Pagrindinis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40</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Pradinis</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19</w:t>
            </w:r>
          </w:p>
        </w:tc>
      </w:tr>
      <w:tr w:rsidR="003666D2" w:rsidRPr="003666D2" w:rsidTr="00C03D80">
        <w:trPr>
          <w:trHeight w:val="20"/>
          <w:jc w:val="center"/>
        </w:trPr>
        <w:tc>
          <w:tcPr>
            <w:tcW w:w="2381" w:type="dxa"/>
          </w:tcPr>
          <w:p w:rsidR="003666D2" w:rsidRPr="003666D2" w:rsidRDefault="003666D2" w:rsidP="003666D2">
            <w:pPr>
              <w:spacing w:line="360" w:lineRule="auto"/>
              <w:jc w:val="both"/>
              <w:rPr>
                <w:rFonts w:ascii="Times New Roman" w:eastAsia="Times New Roman" w:hAnsi="Times New Roman" w:cs="Times New Roman"/>
                <w:color w:val="000000"/>
                <w:sz w:val="24"/>
                <w:szCs w:val="24"/>
                <w:lang w:eastAsia="lt-LT"/>
              </w:rPr>
            </w:pPr>
            <w:r w:rsidRPr="003666D2">
              <w:rPr>
                <w:rFonts w:ascii="Times New Roman" w:eastAsia="Times New Roman" w:hAnsi="Times New Roman" w:cs="Times New Roman"/>
                <w:color w:val="000000"/>
                <w:sz w:val="24"/>
                <w:szCs w:val="24"/>
                <w:lang w:eastAsia="lt-LT"/>
              </w:rPr>
              <w:t xml:space="preserve">Iš viso: </w:t>
            </w:r>
          </w:p>
        </w:tc>
        <w:tc>
          <w:tcPr>
            <w:tcW w:w="2381" w:type="dxa"/>
          </w:tcPr>
          <w:p w:rsidR="003666D2" w:rsidRPr="003666D2" w:rsidRDefault="003666D2" w:rsidP="003666D2">
            <w:pPr>
              <w:spacing w:line="360" w:lineRule="auto"/>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472</w:t>
            </w:r>
          </w:p>
        </w:tc>
      </w:tr>
    </w:tbl>
    <w:p w:rsidR="003666D2" w:rsidRPr="003666D2" w:rsidRDefault="003666D2" w:rsidP="003666D2">
      <w:pPr>
        <w:tabs>
          <w:tab w:val="left" w:pos="540"/>
        </w:tabs>
        <w:spacing w:after="0" w:line="360" w:lineRule="auto"/>
        <w:ind w:firstLine="567"/>
        <w:jc w:val="both"/>
        <w:rPr>
          <w:rFonts w:ascii="Times New Roman" w:eastAsia="Times New Roman" w:hAnsi="Times New Roman" w:cs="Times New Roman"/>
          <w:sz w:val="24"/>
          <w:szCs w:val="24"/>
          <w:lang w:eastAsia="en-GB"/>
        </w:rPr>
      </w:pPr>
    </w:p>
    <w:p w:rsidR="003666D2" w:rsidRPr="003666D2" w:rsidRDefault="003666D2" w:rsidP="003666D2">
      <w:pPr>
        <w:tabs>
          <w:tab w:val="left" w:pos="540"/>
        </w:tabs>
        <w:spacing w:after="0" w:line="360" w:lineRule="auto"/>
        <w:ind w:firstLine="567"/>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lastRenderedPageBreak/>
        <w:t>Iš diagramos (9 pav.) matyti, jog profesinį mokslą yra baigę daugiausiai – 26,7% respondentų. 21 % turi aukštesnįjį išsilavinimą, 20,1% - vidurinįjį. Aukštąjį išsilavinimą turi 19,7 % respondentų, 8,5% - pagrindinį ir tik 4%  pradinį.</w:t>
      </w: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0CBFEA01" wp14:editId="3980D24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6D2" w:rsidRPr="003666D2" w:rsidRDefault="003666D2" w:rsidP="003666D2">
      <w:pPr>
        <w:numPr>
          <w:ilvl w:val="0"/>
          <w:numId w:val="4"/>
        </w:numPr>
        <w:spacing w:after="0" w:line="360" w:lineRule="auto"/>
        <w:contextualSpacing/>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b/>
          <w:sz w:val="24"/>
          <w:szCs w:val="24"/>
          <w:lang w:eastAsia="en-GB"/>
        </w:rPr>
        <w:t>pav. Respondentų pasiskirstymas pagal išsilavinimą Šėtos seniūnijoje, procentais</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Atsižvelgiant į respondentų šeimose esančių bedarbių situaciją, tyrimo duomenys parodo, kad faktiškai kas antroje šeimoje yra bedarbių. Pagal tyrimo rezultatus diagramoje (10 pav.) matome, jog net 41,7 % respondentų šeimose yra bedarbių. </w:t>
      </w: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0B19EB07" wp14:editId="7C5A1C78">
            <wp:extent cx="4095750" cy="2305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6D2" w:rsidRPr="003666D2" w:rsidRDefault="003666D2" w:rsidP="003666D2">
      <w:pPr>
        <w:numPr>
          <w:ilvl w:val="0"/>
          <w:numId w:val="4"/>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pav. Respondentų atsakymo rezultatai į klausimą „ Ar yra šeimoje bedarbių?“,  procentais</w:t>
      </w:r>
    </w:p>
    <w:p w:rsidR="003666D2" w:rsidRPr="003666D2" w:rsidRDefault="003666D2" w:rsidP="003666D2">
      <w:pPr>
        <w:spacing w:after="0" w:line="360" w:lineRule="auto"/>
        <w:ind w:firstLine="720"/>
        <w:jc w:val="center"/>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Iš 5 lentelės matome, jog daugiausiai - 110 Šėtos seniūnijos respondentai dirba valstybės tarnautojo pareigose. Ne ką mažesnis skaičius respondentų yra darbininkai, t.y. 105 respondentai. Pensininkų skaičius – 71, o tuo tarpu bedarbių ir namų šeimininkių skaičius sutampa – 33. Likusią </w:t>
      </w:r>
      <w:r w:rsidRPr="003666D2">
        <w:rPr>
          <w:rFonts w:ascii="Times New Roman" w:eastAsia="Times New Roman" w:hAnsi="Times New Roman" w:cs="Times New Roman"/>
          <w:sz w:val="24"/>
          <w:szCs w:val="24"/>
          <w:lang w:eastAsia="en-GB"/>
        </w:rPr>
        <w:lastRenderedPageBreak/>
        <w:t xml:space="preserve">mažiausią dalį sudaro studentai (25), kitų veiklų respondentai (18), ūkininkai (17) ir verslininkai (10).  </w:t>
      </w:r>
    </w:p>
    <w:p w:rsidR="003666D2" w:rsidRPr="003666D2" w:rsidRDefault="003666D2" w:rsidP="003666D2">
      <w:pPr>
        <w:numPr>
          <w:ilvl w:val="0"/>
          <w:numId w:val="3"/>
        </w:numPr>
        <w:spacing w:after="0" w:line="36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lentelė. Respondentų pasiskirstymas pagal pareigas/ veiklą</w:t>
      </w:r>
    </w:p>
    <w:tbl>
      <w:tblPr>
        <w:tblStyle w:val="TableGrid"/>
        <w:tblW w:w="0" w:type="auto"/>
        <w:jc w:val="center"/>
        <w:tblLook w:val="04A0" w:firstRow="1" w:lastRow="0" w:firstColumn="1" w:lastColumn="0" w:noHBand="0" w:noVBand="1"/>
      </w:tblPr>
      <w:tblGrid>
        <w:gridCol w:w="3284"/>
        <w:gridCol w:w="3285"/>
      </w:tblGrid>
      <w:tr w:rsidR="003666D2" w:rsidRPr="003666D2" w:rsidTr="00C03D80">
        <w:trPr>
          <w:jc w:val="center"/>
        </w:trPr>
        <w:tc>
          <w:tcPr>
            <w:tcW w:w="3284" w:type="dxa"/>
          </w:tcPr>
          <w:p w:rsidR="003666D2" w:rsidRPr="003666D2" w:rsidRDefault="003666D2" w:rsidP="003666D2">
            <w:pPr>
              <w:spacing w:line="36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Pareigos</w:t>
            </w:r>
          </w:p>
        </w:tc>
        <w:tc>
          <w:tcPr>
            <w:tcW w:w="3285" w:type="dxa"/>
          </w:tcPr>
          <w:p w:rsidR="003666D2" w:rsidRPr="003666D2" w:rsidRDefault="003666D2" w:rsidP="003666D2">
            <w:pPr>
              <w:spacing w:line="36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Respondentų skaičius</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color w:val="000000"/>
                <w:sz w:val="24"/>
                <w:szCs w:val="24"/>
                <w:lang w:eastAsia="lt-LT"/>
              </w:rPr>
            </w:pPr>
            <w:r w:rsidRPr="003666D2">
              <w:rPr>
                <w:rFonts w:ascii="Times New Roman" w:eastAsia="Times New Roman" w:hAnsi="Times New Roman" w:cs="Times New Roman"/>
                <w:color w:val="000000"/>
                <w:sz w:val="24"/>
                <w:szCs w:val="24"/>
                <w:lang w:eastAsia="lt-LT"/>
              </w:rPr>
              <w:t>Tarnautojas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110</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Darbininkas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105</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Pensininkas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71</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Bedarbis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53</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Namų šeimininkė</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33</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Vadovaujantis darbuotojas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33</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Studentas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25</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Kita</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18</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Ūkininkas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17</w:t>
            </w:r>
          </w:p>
        </w:tc>
      </w:tr>
      <w:tr w:rsidR="003666D2" w:rsidRPr="003666D2" w:rsidTr="00C03D80">
        <w:trPr>
          <w:jc w:val="center"/>
        </w:trPr>
        <w:tc>
          <w:tcPr>
            <w:tcW w:w="3284"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color w:val="000000"/>
                <w:sz w:val="24"/>
                <w:szCs w:val="24"/>
                <w:lang w:eastAsia="lt-LT"/>
              </w:rPr>
              <w:t>Verslininkas</w:t>
            </w:r>
          </w:p>
        </w:tc>
        <w:tc>
          <w:tcPr>
            <w:tcW w:w="3285" w:type="dxa"/>
            <w:vAlign w:val="center"/>
          </w:tcPr>
          <w:p w:rsidR="003666D2" w:rsidRPr="003666D2" w:rsidRDefault="003666D2" w:rsidP="003666D2">
            <w:pPr>
              <w:spacing w:line="360" w:lineRule="auto"/>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10</w:t>
            </w:r>
          </w:p>
        </w:tc>
      </w:tr>
      <w:tr w:rsidR="003666D2" w:rsidRPr="003666D2" w:rsidTr="00C03D80">
        <w:trPr>
          <w:jc w:val="center"/>
        </w:trPr>
        <w:tc>
          <w:tcPr>
            <w:tcW w:w="3284" w:type="dxa"/>
          </w:tcPr>
          <w:p w:rsidR="003666D2" w:rsidRPr="003666D2" w:rsidRDefault="003666D2" w:rsidP="003666D2">
            <w:pPr>
              <w:spacing w:line="36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Iš viso</w:t>
            </w:r>
          </w:p>
        </w:tc>
        <w:tc>
          <w:tcPr>
            <w:tcW w:w="3285" w:type="dxa"/>
          </w:tcPr>
          <w:p w:rsidR="003666D2" w:rsidRPr="003666D2" w:rsidRDefault="003666D2" w:rsidP="003666D2">
            <w:pPr>
              <w:spacing w:line="36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472</w:t>
            </w:r>
          </w:p>
        </w:tc>
      </w:tr>
    </w:tbl>
    <w:p w:rsidR="003666D2" w:rsidRPr="003666D2" w:rsidRDefault="003666D2" w:rsidP="003666D2">
      <w:pPr>
        <w:spacing w:after="0" w:line="360" w:lineRule="auto"/>
        <w:ind w:firstLine="720"/>
        <w:jc w:val="center"/>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Iš respondentų pasiskirstymo pagal pareigas galima matyti, jog tarnautojų yra 11 kartų daugiau nei verslininkų, kur pastarieji sudaro mažiausią respondentų dalį.</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41D8FE85" wp14:editId="3CA90397">
            <wp:simplePos x="0" y="0"/>
            <wp:positionH relativeFrom="column">
              <wp:posOffset>-120650</wp:posOffset>
            </wp:positionH>
            <wp:positionV relativeFrom="paragraph">
              <wp:posOffset>1173480</wp:posOffset>
            </wp:positionV>
            <wp:extent cx="6057900" cy="4124325"/>
            <wp:effectExtent l="0" t="0" r="0" b="0"/>
            <wp:wrapTight wrapText="bothSides">
              <wp:wrapPolygon edited="0">
                <wp:start x="0" y="0"/>
                <wp:lineTo x="0" y="21450"/>
                <wp:lineTo x="21532" y="21450"/>
                <wp:lineTo x="21532"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666D2">
        <w:rPr>
          <w:rFonts w:ascii="Times New Roman" w:eastAsia="Times New Roman" w:hAnsi="Times New Roman" w:cs="Times New Roman"/>
          <w:sz w:val="24"/>
          <w:szCs w:val="24"/>
          <w:lang w:eastAsia="en-GB"/>
        </w:rPr>
        <w:t xml:space="preserve">Analizuojant Šėtos seniūnijos gyventojų pajamas susiduriame su gyventojų mažų pajamų problema. Net 36,9 % respondentų, o tai sudaro didžiausią apklaustųjų dalį,  mėnesio pajamos yra </w:t>
      </w:r>
      <w:r w:rsidRPr="003666D2">
        <w:rPr>
          <w:rFonts w:ascii="Times New Roman" w:eastAsia="Times New Roman" w:hAnsi="Times New Roman" w:cs="Times New Roman"/>
          <w:sz w:val="24"/>
          <w:szCs w:val="24"/>
          <w:lang w:eastAsia="en-GB"/>
        </w:rPr>
        <w:lastRenderedPageBreak/>
        <w:t xml:space="preserve">ne daugiau 749 Lt. Kai tuo tarpu daugiau nei 2000 Lt per mėnesį respondentų gaunamų pajamų sudaro tik 4,1 %. </w:t>
      </w: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p>
    <w:p w:rsidR="003666D2" w:rsidRPr="003666D2" w:rsidRDefault="003666D2" w:rsidP="003666D2">
      <w:pPr>
        <w:numPr>
          <w:ilvl w:val="0"/>
          <w:numId w:val="4"/>
        </w:numPr>
        <w:spacing w:after="0" w:line="36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 xml:space="preserve"> pav. Gyventojų pajamos vienam šeimos nariui per mėnesį, procentais</w:t>
      </w:r>
    </w:p>
    <w:p w:rsidR="003666D2" w:rsidRPr="003666D2" w:rsidRDefault="003666D2" w:rsidP="003666D2">
      <w:pPr>
        <w:spacing w:after="0" w:line="360" w:lineRule="auto"/>
        <w:ind w:left="1440"/>
        <w:contextualSpacing/>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Tačiau situacija yra dar yra prastesnė, kai apklausos duomenys rodo, jog net 21,5 % respondentų pajamos siekia ne daugiau 350 Lt per mėnesį vienam žmogui. Tik 11,1 % Šėtos seniūnijos apklaustųjų mėnesinės pajamos sudaro nuo 1001 Lt ik 2000 Lt. Ir, deja, viena didžiausių dalių, t.y. 26,5 % respondentų per mėnesį gauna nuo 750 Lt iki 1000 Lt.  Duomenys akivaizdžiai parodo, jog tarp gyventojų yra arba gali kilti socialiniai skirtumai, kurie sąlygoja socialinę nelygybę vietos bendruomenėje.</w:t>
      </w:r>
    </w:p>
    <w:p w:rsidR="003666D2" w:rsidRPr="003666D2" w:rsidRDefault="003666D2" w:rsidP="003666D2">
      <w:pPr>
        <w:spacing w:after="0" w:line="360" w:lineRule="auto"/>
        <w:rPr>
          <w:rFonts w:ascii="Times New Roman" w:eastAsia="Times New Roman" w:hAnsi="Times New Roman" w:cs="Times New Roman"/>
          <w:sz w:val="24"/>
          <w:szCs w:val="24"/>
          <w:lang w:eastAsia="en-GB"/>
        </w:rPr>
      </w:pPr>
    </w:p>
    <w:p w:rsidR="003666D2" w:rsidRPr="003666D2" w:rsidRDefault="003666D2" w:rsidP="003666D2">
      <w:pPr>
        <w:spacing w:after="0" w:line="360" w:lineRule="auto"/>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Respondentų nuomone, pačios didžiausios gyvenamosios vietovės problemos yra nedarbas ir mažos gyventojų pajamos. Iš pateiktų duomenų matome (11 pav.), jog nedarbą, kaip opiausią Šėtos seniūnijos problemą, pažymėjo 48,4 % respondentų. </w:t>
      </w: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110BDA17" wp14:editId="0EBA5F2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66D2" w:rsidRPr="003666D2" w:rsidRDefault="003666D2" w:rsidP="003666D2">
      <w:pPr>
        <w:numPr>
          <w:ilvl w:val="0"/>
          <w:numId w:val="4"/>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 xml:space="preserve"> pav. Respondentų nuomonė, jog nedarbas yra didelė Šėtos seniūnijos problema, procentais</w:t>
      </w:r>
    </w:p>
    <w:p w:rsidR="003666D2" w:rsidRPr="003666D2" w:rsidRDefault="003666D2" w:rsidP="003666D2">
      <w:pPr>
        <w:spacing w:after="0" w:line="360" w:lineRule="auto"/>
        <w:ind w:firstLine="720"/>
        <w:jc w:val="center"/>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Kita taip pat didelė problema respondentų nuomone (12 pav.) – mažos gyventojų pajamos. Šią problemą mato 26, 8% apklaustųjų. </w:t>
      </w:r>
    </w:p>
    <w:p w:rsidR="003666D2" w:rsidRPr="003666D2" w:rsidRDefault="003666D2" w:rsidP="003666D2">
      <w:pPr>
        <w:spacing w:after="0"/>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lastRenderedPageBreak/>
        <w:drawing>
          <wp:inline distT="0" distB="0" distL="0" distR="0" wp14:anchorId="574B4E07" wp14:editId="7EFD3B2E">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66D2" w:rsidRPr="003666D2" w:rsidRDefault="003666D2" w:rsidP="003666D2">
      <w:pPr>
        <w:numPr>
          <w:ilvl w:val="0"/>
          <w:numId w:val="4"/>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 xml:space="preserve"> pav. Respondentų nuomonė, jog mažos gyventojų pajamos yra didelė Šėtos seniūnijos problema procentais.</w:t>
      </w:r>
    </w:p>
    <w:p w:rsidR="003666D2" w:rsidRPr="003666D2" w:rsidRDefault="003666D2" w:rsidP="003666D2">
      <w:pPr>
        <w:spacing w:after="0" w:line="240" w:lineRule="auto"/>
        <w:ind w:left="1080"/>
        <w:contextualSpacing/>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Taigi, įvardijus šias dvi didžiausias Šėtos seniūnijos problemas, galima teigti, jog vietovėje ne tik trūksta darbo vietų ir yra didelis nedarbas, bet taip pat yra sudėtinga situacija su gyventojų mažomis pajamomis.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Į klausimą, ar respondentai asmeniškai pajuto Europos Sąjungos paramos naudą sau ir savo gyvenamajai vietovei, atsakė 49,8 % teigiamai, o likusi dalis, t.y. 50,2 % respondentų nemato paramos naudos.</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„Europos Sąjungos parama Lietuvos kaimui bus teikiama ir 2014-2020 m. laikotarpiu. Kokioms paramos sritims Jūs teiktumėte pirmenybę, kad ES lėšos, skirtos kaimo gyventojams, būtų kuo geriau panaudotos?“ Taip skambėjo klausimas, į kurio atsakymai pateikti 6- oje lentelėje.</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Pagal respondentų atsakymų duomenis išrinktos penkios prioritetinės sritys, kurios buvo pažymėtos, kaip svarbiausios.  </w:t>
      </w:r>
    </w:p>
    <w:p w:rsidR="003666D2" w:rsidRPr="003666D2" w:rsidRDefault="003666D2" w:rsidP="003666D2">
      <w:pPr>
        <w:numPr>
          <w:ilvl w:val="0"/>
          <w:numId w:val="3"/>
        </w:numPr>
        <w:spacing w:after="0" w:line="240" w:lineRule="auto"/>
        <w:contextualSpacing/>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lentelė. Respondentų  pasirinktos prioritetinės sritys 5 balų sistemoje</w:t>
      </w:r>
    </w:p>
    <w:tbl>
      <w:tblPr>
        <w:tblStyle w:val="TableGrid"/>
        <w:tblW w:w="10035" w:type="dxa"/>
        <w:jc w:val="center"/>
        <w:tblLayout w:type="fixed"/>
        <w:tblLook w:val="04A0" w:firstRow="1" w:lastRow="0" w:firstColumn="1" w:lastColumn="0" w:noHBand="0" w:noVBand="1"/>
      </w:tblPr>
      <w:tblGrid>
        <w:gridCol w:w="5103"/>
        <w:gridCol w:w="1644"/>
        <w:gridCol w:w="1644"/>
        <w:gridCol w:w="1644"/>
      </w:tblGrid>
      <w:tr w:rsidR="003666D2" w:rsidRPr="003666D2" w:rsidTr="00C03D80">
        <w:trPr>
          <w:jc w:val="center"/>
        </w:trPr>
        <w:tc>
          <w:tcPr>
            <w:tcW w:w="5103" w:type="dxa"/>
            <w:vAlign w:val="center"/>
          </w:tcPr>
          <w:p w:rsidR="003666D2" w:rsidRPr="003666D2" w:rsidRDefault="003666D2" w:rsidP="003666D2">
            <w:pPr>
              <w:spacing w:line="360" w:lineRule="auto"/>
              <w:rPr>
                <w:rFonts w:ascii="Times New Roman" w:eastAsia="Times New Roman" w:hAnsi="Times New Roman" w:cs="Times New Roman"/>
                <w:b/>
                <w:sz w:val="20"/>
                <w:szCs w:val="20"/>
                <w:lang w:eastAsia="en-GB"/>
              </w:rPr>
            </w:pPr>
            <w:r w:rsidRPr="003666D2">
              <w:rPr>
                <w:rFonts w:ascii="Times New Roman" w:eastAsia="Times New Roman" w:hAnsi="Times New Roman" w:cs="Times New Roman"/>
                <w:b/>
                <w:sz w:val="20"/>
                <w:szCs w:val="20"/>
                <w:lang w:eastAsia="en-GB"/>
              </w:rPr>
              <w:t>Paramos sritys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b/>
                <w:sz w:val="20"/>
                <w:szCs w:val="20"/>
                <w:lang w:eastAsia="en-GB"/>
              </w:rPr>
            </w:pPr>
            <w:r w:rsidRPr="003666D2">
              <w:rPr>
                <w:rFonts w:ascii="Times New Roman" w:eastAsia="Times New Roman" w:hAnsi="Times New Roman" w:cs="Times New Roman"/>
                <w:b/>
                <w:sz w:val="20"/>
                <w:szCs w:val="20"/>
                <w:lang w:eastAsia="en-GB"/>
              </w:rPr>
              <w:t>Respondentų sk.</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b/>
                <w:sz w:val="20"/>
                <w:szCs w:val="20"/>
                <w:lang w:eastAsia="en-GB"/>
              </w:rPr>
            </w:pPr>
            <w:r w:rsidRPr="003666D2">
              <w:rPr>
                <w:rFonts w:ascii="Times New Roman" w:eastAsia="Times New Roman" w:hAnsi="Times New Roman" w:cs="Times New Roman"/>
                <w:b/>
                <w:sz w:val="20"/>
                <w:szCs w:val="20"/>
                <w:lang w:eastAsia="en-GB"/>
              </w:rPr>
              <w:t>Vidurkis</w:t>
            </w:r>
          </w:p>
        </w:tc>
        <w:tc>
          <w:tcPr>
            <w:tcW w:w="1644" w:type="dxa"/>
            <w:vAlign w:val="center"/>
          </w:tcPr>
          <w:p w:rsidR="003666D2" w:rsidRPr="003666D2" w:rsidRDefault="003666D2" w:rsidP="003666D2">
            <w:pPr>
              <w:jc w:val="center"/>
              <w:rPr>
                <w:rFonts w:ascii="Times New Roman" w:eastAsia="Times New Roman" w:hAnsi="Times New Roman" w:cs="Times New Roman"/>
                <w:b/>
                <w:sz w:val="20"/>
                <w:szCs w:val="20"/>
                <w:lang w:eastAsia="en-GB"/>
              </w:rPr>
            </w:pPr>
            <w:r w:rsidRPr="003666D2">
              <w:rPr>
                <w:rFonts w:ascii="Times New Roman" w:eastAsia="Times New Roman" w:hAnsi="Times New Roman" w:cs="Times New Roman"/>
                <w:b/>
                <w:sz w:val="20"/>
                <w:szCs w:val="20"/>
                <w:lang w:eastAsia="en-GB"/>
              </w:rPr>
              <w:t>Stand. nuokrypis</w:t>
            </w: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Darbo vietų kūrimas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443</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4,44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1,05</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Paslaugos soc. pažeidžiamoms grupėms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449</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3,83</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1,20</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Paslaugos gyventojams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440</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3,80</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1,28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Sveikatinimo priemonių aktyvinimas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437</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3,72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1,35</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Projektai vietos produkcijai</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435</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3,67</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1,32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Naujovių skatinimas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444</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3,64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lastRenderedPageBreak/>
              <w:t>1,42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lastRenderedPageBreak/>
              <w:t>Viešosios infrastruk. plėtra</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436</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3,51</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1,34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Palankios sąlygos ūkininkavimui</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436</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3,48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1,40</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 xml:space="preserve">Atsinaujinančiųjų energijos išteklių naudojimo palengvinimas </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430</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3,38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1,47</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Atsinaujinančiųjų energijos išteklių naudojimo palengvinimas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430</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3,38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1,47</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Informacinių technologijų plėtra</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431</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3,24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1,47</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Bendruomeniškumo skatinimas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434</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3,21</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1,46</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Mokymosi skatinimas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437</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3,14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1,68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Ūkininkavimo ir kraštovaizdžių būklė</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434</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3,05</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Biologinės įvairovės atkūrimas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432</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2,88</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1,44</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Savanorystės skatinimas</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428</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2,82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1,47</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r w:rsidR="003666D2" w:rsidRPr="003666D2" w:rsidTr="00C03D80">
        <w:trPr>
          <w:jc w:val="center"/>
        </w:trPr>
        <w:tc>
          <w:tcPr>
            <w:tcW w:w="5103" w:type="dxa"/>
            <w:vAlign w:val="center"/>
          </w:tcPr>
          <w:p w:rsidR="003666D2" w:rsidRPr="003666D2" w:rsidRDefault="003666D2" w:rsidP="003666D2">
            <w:pP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Turizmo plėtra</w:t>
            </w:r>
          </w:p>
        </w:tc>
        <w:tc>
          <w:tcPr>
            <w:tcW w:w="1644" w:type="dxa"/>
            <w:vAlign w:val="center"/>
          </w:tcPr>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440</w:t>
            </w: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2,60</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c>
          <w:tcPr>
            <w:tcW w:w="1644" w:type="dxa"/>
            <w:vAlign w:val="center"/>
          </w:tcPr>
          <w:p w:rsidR="003666D2" w:rsidRPr="003666D2" w:rsidRDefault="003666D2" w:rsidP="003666D2">
            <w:pPr>
              <w:jc w:val="center"/>
              <w:rPr>
                <w:rFonts w:ascii="Times New Roman" w:eastAsia="Times New Roman" w:hAnsi="Times New Roman" w:cs="Times New Roman"/>
                <w:color w:val="000000"/>
                <w:sz w:val="20"/>
                <w:szCs w:val="20"/>
                <w:lang w:eastAsia="en-GB"/>
              </w:rPr>
            </w:pPr>
            <w:r w:rsidRPr="003666D2">
              <w:rPr>
                <w:rFonts w:ascii="Times New Roman" w:eastAsia="Times New Roman" w:hAnsi="Times New Roman" w:cs="Times New Roman"/>
                <w:color w:val="000000"/>
                <w:sz w:val="20"/>
                <w:szCs w:val="20"/>
                <w:lang w:eastAsia="en-GB"/>
              </w:rPr>
              <w:t>1,42</w:t>
            </w:r>
          </w:p>
          <w:p w:rsidR="003666D2" w:rsidRPr="003666D2" w:rsidRDefault="003666D2" w:rsidP="003666D2">
            <w:pPr>
              <w:spacing w:line="360" w:lineRule="auto"/>
              <w:jc w:val="center"/>
              <w:rPr>
                <w:rFonts w:ascii="Times New Roman" w:eastAsia="Times New Roman" w:hAnsi="Times New Roman" w:cs="Times New Roman"/>
                <w:sz w:val="20"/>
                <w:szCs w:val="20"/>
                <w:lang w:eastAsia="en-GB"/>
              </w:rPr>
            </w:pPr>
          </w:p>
        </w:tc>
      </w:tr>
    </w:tbl>
    <w:p w:rsidR="003666D2" w:rsidRPr="003666D2" w:rsidRDefault="003666D2" w:rsidP="003666D2">
      <w:pPr>
        <w:spacing w:after="0" w:line="360" w:lineRule="auto"/>
        <w:rPr>
          <w:rFonts w:ascii="Times New Roman" w:eastAsia="Times New Roman" w:hAnsi="Times New Roman" w:cs="Times New Roman"/>
          <w:sz w:val="20"/>
          <w:szCs w:val="20"/>
          <w:lang w:eastAsia="en-GB"/>
        </w:rPr>
      </w:pPr>
    </w:p>
    <w:p w:rsidR="003666D2" w:rsidRPr="003666D2" w:rsidRDefault="003666D2" w:rsidP="003666D2">
      <w:pPr>
        <w:spacing w:after="0" w:line="360" w:lineRule="auto"/>
        <w:ind w:firstLine="720"/>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Remiantis 14 pav. diagrama, aiškiai matoma, jog respondentai faktiškai vieningai svarbiausią prioritetinę sritį pasirinko „Paramą darbo vietų kūrimui“. Ši prioritetinė sritis surinko net 4,44 balus iš 5. Ne ką mažiau svarbios sritys anot respondentų – „Paslaugų socialiai pažeidžiamoms grupėms plėtra: ir „Paslaugų (švietimo, kultūros, sporto) sričių plėtra“. Šios sritis dalinasi antra-trečia vieta, nes jos surinko faktiškai lygų vidurkį, t.y. pirmoji – 3,83, o antroji – 3,80 balų. Taip pat ne dideliu skirtumu atsilieka ir kitos dvi sritys, tai – “ Projektai, skirti vietos produkcijos perdirbimui ir realizavimui”, kur šios srities standartinis nuokrypis yra 1,32, o tai atitinkamai reiškia, jog respondentai ne taip vieningai pasirinko šią sritį, tad ji surinko 3,67 balus pagal svarbumą iš 5 balų sistemos. O paskutinėje vietoje, tačiau tai nereiškia, jog nereikšmingoje, kadangi prioritetinių sričių buvo net 16, respondentai skiria 3,48 balus ir čia standartinis nuokrypis atitinkamai yra didesnis, t.y. 1,40. O ši sritis vadinasi „ Palankesnių sąlygų pradėti veiklą ūkininkavimo sektoriuje sudarymas“.</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Taigi, akivaizdu, jog respondentai išskiria darbo vietų problemos aktualumą ir sprendimą jas kurti. </w:t>
      </w:r>
    </w:p>
    <w:p w:rsidR="003666D2" w:rsidRPr="003666D2" w:rsidRDefault="003666D2" w:rsidP="003666D2">
      <w:pPr>
        <w:spacing w:after="0" w:line="360" w:lineRule="auto"/>
        <w:ind w:firstLine="720"/>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lastRenderedPageBreak/>
        <w:drawing>
          <wp:inline distT="0" distB="0" distL="0" distR="0" wp14:anchorId="455C5B2D" wp14:editId="0322B0DB">
            <wp:extent cx="5705475" cy="42195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6D2" w:rsidRPr="003666D2" w:rsidRDefault="003666D2" w:rsidP="003666D2">
      <w:pPr>
        <w:numPr>
          <w:ilvl w:val="0"/>
          <w:numId w:val="4"/>
        </w:numPr>
        <w:spacing w:after="0" w:line="360" w:lineRule="auto"/>
        <w:contextualSpacing/>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b/>
          <w:sz w:val="24"/>
          <w:szCs w:val="24"/>
          <w:lang w:eastAsia="en-GB"/>
        </w:rPr>
        <w:t>pav. Respondentų  pasirinktos prioritetinės sritys įvertintos 5 balų skalėje</w:t>
      </w:r>
    </w:p>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4"/>
          <w:szCs w:val="24"/>
          <w:lang w:eastAsia="en-GB"/>
        </w:rPr>
      </w:pPr>
    </w:p>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4"/>
          <w:szCs w:val="24"/>
          <w:lang w:eastAsia="en-GB"/>
        </w:rPr>
      </w:pPr>
    </w:p>
    <w:p w:rsidR="003666D2" w:rsidRPr="003666D2" w:rsidRDefault="003666D2" w:rsidP="003666D2">
      <w:pPr>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Labiausiai respondentams gyvenvietėse trūksta buitinių paslaugų. Tokį trūkumą pasirinko 323 apklaustieji, o tai sudaro 70,9% atsakiusiųjų. Dažniausiai trūkstama paslauga būdavo įvardijama srutų/ nuotekų išvežimas.</w:t>
      </w:r>
    </w:p>
    <w:p w:rsidR="003666D2" w:rsidRPr="003666D2" w:rsidRDefault="003666D2" w:rsidP="003666D2">
      <w:pPr>
        <w:spacing w:after="0" w:line="360" w:lineRule="auto"/>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3F056E67" wp14:editId="4E6941C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66D2" w:rsidRPr="003666D2" w:rsidRDefault="003666D2" w:rsidP="003666D2">
      <w:pPr>
        <w:spacing w:after="0" w:line="360" w:lineRule="auto"/>
        <w:ind w:firstLine="720"/>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15 pav. Respondentų atsakymas į klausimą, ar trūksta buitinių paslaugų, procentais</w:t>
      </w:r>
    </w:p>
    <w:p w:rsidR="003666D2" w:rsidRPr="003666D2" w:rsidRDefault="003666D2" w:rsidP="003666D2">
      <w:pPr>
        <w:spacing w:after="0" w:line="240" w:lineRule="auto"/>
        <w:rPr>
          <w:rFonts w:ascii="Calibri" w:eastAsia="Times New Roman" w:hAnsi="Calibri" w:cs="Times New Roman"/>
          <w:color w:val="000000"/>
        </w:rPr>
      </w:pPr>
    </w:p>
    <w:p w:rsidR="003666D2" w:rsidRPr="003666D2" w:rsidRDefault="003666D2" w:rsidP="003666D2">
      <w:pPr>
        <w:spacing w:after="0" w:line="360" w:lineRule="auto"/>
        <w:ind w:firstLine="720"/>
        <w:jc w:val="both"/>
        <w:rPr>
          <w:rFonts w:ascii="Times New Roman" w:eastAsia="Times New Roman" w:hAnsi="Times New Roman" w:cs="Times New Roman"/>
          <w:color w:val="000000"/>
          <w:sz w:val="24"/>
          <w:szCs w:val="24"/>
        </w:rPr>
      </w:pPr>
      <w:r w:rsidRPr="003666D2">
        <w:rPr>
          <w:rFonts w:ascii="Times New Roman" w:eastAsia="Times New Roman" w:hAnsi="Times New Roman" w:cs="Times New Roman"/>
          <w:color w:val="000000"/>
          <w:sz w:val="24"/>
          <w:szCs w:val="24"/>
        </w:rPr>
        <w:t xml:space="preserve">Kita ne ką mažiau, anot respondentų trūkstama paslauga – vyresnio amžiaus  asmenų ir sunkių ligonių priežiūra (slauga, vaistų suleidimas, aprūpinimas būtiniausiais pirkiniais ir pan.). Šį trūkumą įvardijo 63,7 % respondentų (16 pav.), o tai sudaro 281 respondentus. </w:t>
      </w:r>
    </w:p>
    <w:p w:rsidR="003666D2" w:rsidRPr="003666D2" w:rsidRDefault="003666D2" w:rsidP="003666D2">
      <w:pPr>
        <w:spacing w:after="0" w:line="360" w:lineRule="auto"/>
        <w:rPr>
          <w:rFonts w:ascii="Times New Roman" w:eastAsia="Times New Roman" w:hAnsi="Times New Roman" w:cs="Times New Roman"/>
          <w:color w:val="000000"/>
          <w:sz w:val="24"/>
          <w:szCs w:val="24"/>
        </w:rPr>
      </w:pPr>
    </w:p>
    <w:p w:rsidR="003666D2" w:rsidRPr="003666D2" w:rsidRDefault="003666D2" w:rsidP="003666D2">
      <w:pPr>
        <w:spacing w:after="0" w:line="360" w:lineRule="auto"/>
        <w:ind w:firstLine="720"/>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370E5441" wp14:editId="3BC301FA">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737" w:type="dxa"/>
        <w:tblInd w:w="93" w:type="dxa"/>
        <w:tblLook w:val="04A0" w:firstRow="1" w:lastRow="0" w:firstColumn="1" w:lastColumn="0" w:noHBand="0" w:noVBand="1"/>
      </w:tblPr>
      <w:tblGrid>
        <w:gridCol w:w="7103"/>
        <w:gridCol w:w="2634"/>
      </w:tblGrid>
      <w:tr w:rsidR="003666D2" w:rsidRPr="003666D2" w:rsidTr="00C03D80">
        <w:trPr>
          <w:trHeight w:val="300"/>
        </w:trPr>
        <w:tc>
          <w:tcPr>
            <w:tcW w:w="7103" w:type="dxa"/>
            <w:tcBorders>
              <w:top w:val="nil"/>
              <w:left w:val="nil"/>
              <w:bottom w:val="nil"/>
              <w:right w:val="nil"/>
            </w:tcBorders>
            <w:shd w:val="clear" w:color="auto" w:fill="auto"/>
            <w:noWrap/>
            <w:vAlign w:val="bottom"/>
          </w:tcPr>
          <w:p w:rsidR="003666D2" w:rsidRPr="003666D2" w:rsidRDefault="003666D2" w:rsidP="003666D2">
            <w:pPr>
              <w:spacing w:after="0" w:line="240" w:lineRule="auto"/>
              <w:rPr>
                <w:rFonts w:ascii="Calibri" w:eastAsia="Times New Roman" w:hAnsi="Calibri" w:cs="Times New Roman"/>
                <w:color w:val="000000"/>
              </w:rPr>
            </w:pPr>
          </w:p>
        </w:tc>
        <w:tc>
          <w:tcPr>
            <w:tcW w:w="2634" w:type="dxa"/>
            <w:tcBorders>
              <w:top w:val="nil"/>
              <w:left w:val="nil"/>
              <w:bottom w:val="nil"/>
              <w:right w:val="nil"/>
            </w:tcBorders>
            <w:shd w:val="clear" w:color="auto" w:fill="auto"/>
            <w:noWrap/>
            <w:vAlign w:val="bottom"/>
          </w:tcPr>
          <w:p w:rsidR="003666D2" w:rsidRPr="003666D2" w:rsidRDefault="003666D2" w:rsidP="003666D2">
            <w:pPr>
              <w:spacing w:after="0" w:line="240" w:lineRule="auto"/>
              <w:ind w:left="-76" w:firstLine="76"/>
              <w:jc w:val="right"/>
              <w:rPr>
                <w:rFonts w:ascii="Calibri" w:eastAsia="Times New Roman" w:hAnsi="Calibri" w:cs="Times New Roman"/>
                <w:color w:val="000000"/>
              </w:rPr>
            </w:pPr>
          </w:p>
        </w:tc>
      </w:tr>
    </w:tbl>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16 pav. Respondentų atsakymas į klausimą, ar trūksta vyresnio amžiaus asmenų ir ligonių priežiūros, procentais</w:t>
      </w:r>
    </w:p>
    <w:p w:rsidR="003666D2" w:rsidRPr="003666D2" w:rsidRDefault="003666D2" w:rsidP="003666D2">
      <w:pPr>
        <w:spacing w:after="0" w:line="360" w:lineRule="auto"/>
        <w:ind w:firstLine="720"/>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Jei tokios paslaugos būtų pradėtos teikti, jas pirktų 71,8 % respondentų, o tai sudaro 339 respondentus.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Šėtos seniūnijos apklaustųjų nuomone, jei ekonominės veiklos pradžiai būtų skirta ES parama, respondentų kaimo bendruomenė galėtų imtis vietos produkcijos realizavimo. Šiai veiklai pritarė net 34,8% respondentų. Taip pat akcentuojama ir kulinarinio paveldo produktų gamyba ir realizavimas. Tokią perspektyvią veiklą mato 25,3 % respondentų. Galima sakyti, jog tai yra ne tik tautiškumą skatinanti veikla, bet ir krašto istorijos atgaivinimas bei perdavimas. 20,8% - tiek respondentų sutinka su amatininkų gaminių bei suvenyrų gamyba ir realizavimu. Panašus pritarimas (20,4%) ir gamtos gėrybių rinkimui, džiovinimui ir realizavimui. Deja, respondentai nenusiteikę užsiimti įvairių paslaugų teikimu turistams. Net 93,1% apklaustųjų mano, jog kaimo bendruomenei nereikėtų imtis šios veiklos.</w:t>
      </w:r>
    </w:p>
    <w:p w:rsidR="003666D2" w:rsidRPr="003666D2" w:rsidRDefault="003666D2" w:rsidP="003666D2">
      <w:pPr>
        <w:spacing w:after="0" w:line="240" w:lineRule="auto"/>
        <w:ind w:firstLine="720"/>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lastRenderedPageBreak/>
        <w:drawing>
          <wp:inline distT="0" distB="0" distL="0" distR="0" wp14:anchorId="7A09EFE0" wp14:editId="6A445C2F">
            <wp:extent cx="4876800" cy="3581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66D2" w:rsidRPr="003666D2" w:rsidRDefault="003666D2" w:rsidP="003666D2">
      <w:pPr>
        <w:spacing w:after="0" w:line="36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16 pav. Respondentų atsakymas, kokios veiklos turėtų imtis kaimo bendruomenė, procentais</w:t>
      </w:r>
    </w:p>
    <w:p w:rsidR="003666D2" w:rsidRPr="003666D2" w:rsidRDefault="003666D2" w:rsidP="003666D2">
      <w:pPr>
        <w:spacing w:after="0" w:line="360" w:lineRule="auto"/>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Į klausimą „Ar būtumėte linkę imtis bendruomeninio verslo iniciatyvų ir įgyvendinti bendruomeninį verslą skatinančius projektus?“ didžioji dalis respondentų – 221, o t.y. atitinkamai sudaro 47,5 % apklaustųjų, atsakė, jog nežino ir jiems tai kol kas sunku pasakyti. Tik 30 respondentų šiuo metu realiai svarsto apie panašaus projekto galimybę bei įgyvendinimą, tačiau  respondentų apklausoje tai sudaro tik 6,2 %.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Išanalizavę duomenis, galime daryti išvadą, jog Šėtos seniūnijos gyventojai yra nelinkę imtis iniciatyvos projektų kūrime ir rašyme.</w:t>
      </w:r>
    </w:p>
    <w:p w:rsidR="003666D2" w:rsidRPr="003666D2" w:rsidRDefault="003666D2" w:rsidP="003666D2">
      <w:pPr>
        <w:spacing w:after="0" w:line="360" w:lineRule="auto"/>
        <w:jc w:val="both"/>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mallCaps/>
          <w:sz w:val="24"/>
          <w:szCs w:val="24"/>
          <w:lang w:eastAsia="en-GB"/>
        </w:rPr>
      </w:pPr>
      <w:r w:rsidRPr="003666D2">
        <w:rPr>
          <w:rFonts w:ascii="Times New Roman" w:eastAsia="Times New Roman" w:hAnsi="Times New Roman" w:cs="Times New Roman"/>
          <w:noProof/>
          <w:sz w:val="24"/>
          <w:szCs w:val="24"/>
          <w:lang w:eastAsia="lt-LT"/>
        </w:rPr>
        <w:lastRenderedPageBreak/>
        <w:drawing>
          <wp:anchor distT="0" distB="0" distL="114300" distR="114300" simplePos="0" relativeHeight="251660288" behindDoc="1" locked="0" layoutInCell="1" allowOverlap="1" wp14:anchorId="5B9161FF" wp14:editId="73695531">
            <wp:simplePos x="0" y="0"/>
            <wp:positionH relativeFrom="column">
              <wp:posOffset>262890</wp:posOffset>
            </wp:positionH>
            <wp:positionV relativeFrom="paragraph">
              <wp:posOffset>3156585</wp:posOffset>
            </wp:positionV>
            <wp:extent cx="5886450" cy="4076700"/>
            <wp:effectExtent l="0" t="0" r="0" b="0"/>
            <wp:wrapTight wrapText="bothSides">
              <wp:wrapPolygon edited="0">
                <wp:start x="0" y="0"/>
                <wp:lineTo x="0" y="21499"/>
                <wp:lineTo x="21530" y="21499"/>
                <wp:lineTo x="2153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3666D2">
        <w:rPr>
          <w:rFonts w:ascii="Times New Roman" w:eastAsia="Times New Roman" w:hAnsi="Times New Roman" w:cs="Times New Roman"/>
          <w:sz w:val="24"/>
          <w:szCs w:val="24"/>
          <w:lang w:eastAsia="en-GB"/>
        </w:rPr>
        <w:t xml:space="preserve">Domintis ir klausiant respondentų nuomonės, kas trukdo jų bendruomenei organizuoti savo verslą ir/ arba teikti savo nariams būtiniausias paslaugas, didžioji dalis pagrindine priežastimi įvardijo tai, jog bendruomenė neturi finansinių išteklių ūkinei veiklai vykdyti. Su tuo sutinka 44,1% apklaustųjų. Kita priežastis, kuriai pritaria 34,1 % respondentų – bendruomenėje daugelis nenori rizikuoti ir vengia atsakomybės. 27,6 % respondentų sutinkančią nuomonę surinkusi priežastis – gerų idėjų trūkumas. Kiti trikdžiai, kuriuos respondentai įvardijo faktiškai vienodai: bendruomenei trūksta žinių ir paslaugų organizavimo patirties (25,8%) ir per silpna bendruomenės organizacija, kad galėtų sėkmingai imtis ūkinės veiklos (28,7 %). Penktadalis (20,2%) apklaustųjų mano, jog bendruomenė turi užsiimti tik visuomenine veikla, kuri nėra susijusi su pajamų gavimu. Mažiausioji respondentų dalis (14,7%) pareiškė, jog bendruomenė neturi poreikio specialia organizuoti ūkinę veiklą, nes sugebama vietos problemą išspręsti įprastais būdais – giminių, kaimynų ir vietos valdžios dėka.  </w:t>
      </w:r>
      <w:r w:rsidRPr="003666D2">
        <w:rPr>
          <w:rFonts w:ascii="Times New Roman" w:eastAsia="Times New Roman" w:hAnsi="Times New Roman" w:cs="Times New Roman"/>
          <w:smallCaps/>
          <w:sz w:val="24"/>
          <w:szCs w:val="24"/>
          <w:lang w:eastAsia="en-GB"/>
        </w:rPr>
        <w:tab/>
      </w:r>
      <w:r w:rsidRPr="003666D2">
        <w:rPr>
          <w:rFonts w:ascii="Times New Roman" w:eastAsia="Times New Roman" w:hAnsi="Times New Roman" w:cs="Times New Roman"/>
          <w:smallCaps/>
          <w:sz w:val="24"/>
          <w:szCs w:val="24"/>
          <w:lang w:eastAsia="en-GB"/>
        </w:rPr>
        <w:tab/>
      </w:r>
    </w:p>
    <w:p w:rsidR="003666D2" w:rsidRPr="003666D2" w:rsidRDefault="003666D2" w:rsidP="003666D2">
      <w:pPr>
        <w:spacing w:after="0" w:line="24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17 pav. Respondentų nuomonė, kas trukdo bendruomenei organizuoti savo verslą arba teikti paslaugas, procentais</w:t>
      </w:r>
    </w:p>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Klausimo „Ar prisidėtumėte prie NVO ar kaimo bendruomenės paslaugų vietos gyventojams teikimo savanorišku darbu?“ respondentų atsakymas atsispindi pateiktoje lentelėje.</w:t>
      </w:r>
      <w:r w:rsidRPr="003666D2">
        <w:rPr>
          <w:rFonts w:ascii="Times New Roman" w:eastAsia="Times New Roman" w:hAnsi="Times New Roman" w:cs="Times New Roman"/>
          <w:sz w:val="24"/>
          <w:szCs w:val="24"/>
          <w:lang w:eastAsia="en-GB"/>
        </w:rPr>
        <w:br/>
        <w:t xml:space="preserve">Akivaizdu, jog savanoryste paremtas darbas Šėtos seniūnijoje sulaukė tik trečdalio (35,2%) </w:t>
      </w:r>
      <w:r w:rsidRPr="003666D2">
        <w:rPr>
          <w:rFonts w:ascii="Times New Roman" w:eastAsia="Times New Roman" w:hAnsi="Times New Roman" w:cs="Times New Roman"/>
          <w:sz w:val="24"/>
          <w:szCs w:val="24"/>
          <w:lang w:eastAsia="en-GB"/>
        </w:rPr>
        <w:lastRenderedPageBreak/>
        <w:t xml:space="preserve">respondentų palaikymo, kas sudaro tik 163 respondentus. Didžioji dalis – 221 respondentas, o tai sudaro 46,6 % apklaustųjų, yra neapsisprendusi ir negali atsakyti.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Duomenys rodo, jog savanorystės problema daugiau mažiau sutinkama kiekvienoje gyvenimo srityje. Tačiau reikia atkreipti dėmesį į tai, jog savanoriškas darbas ne tik praturtina asmenybę patirtimi, bet ir duoda didelį indėlį, šiuo atveju,  bendruomenės labui.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7 lentelė. Respondentų atsakymo, ar prisidėtų prie bendruomenės verslo/ paslaugų teikimo savanoriška veikla, duomenys</w:t>
      </w:r>
    </w:p>
    <w:tbl>
      <w:tblPr>
        <w:tblStyle w:val="TableGrid"/>
        <w:tblW w:w="0" w:type="auto"/>
        <w:tblLook w:val="04A0" w:firstRow="1" w:lastRow="0" w:firstColumn="1" w:lastColumn="0" w:noHBand="0" w:noVBand="1"/>
      </w:tblPr>
      <w:tblGrid>
        <w:gridCol w:w="3284"/>
        <w:gridCol w:w="3285"/>
        <w:gridCol w:w="3285"/>
      </w:tblGrid>
      <w:tr w:rsidR="003666D2" w:rsidRPr="003666D2" w:rsidTr="00C03D80">
        <w:tc>
          <w:tcPr>
            <w:tcW w:w="3284" w:type="dxa"/>
          </w:tcPr>
          <w:p w:rsidR="003666D2" w:rsidRPr="003666D2" w:rsidRDefault="003666D2" w:rsidP="003666D2">
            <w:pPr>
              <w:spacing w:line="360" w:lineRule="auto"/>
              <w:jc w:val="both"/>
              <w:rPr>
                <w:rFonts w:ascii="Times New Roman" w:eastAsia="Times New Roman" w:hAnsi="Times New Roman" w:cs="Times New Roman"/>
                <w:b/>
                <w:sz w:val="20"/>
                <w:szCs w:val="24"/>
                <w:lang w:eastAsia="en-GB"/>
              </w:rPr>
            </w:pPr>
            <w:r w:rsidRPr="003666D2">
              <w:rPr>
                <w:rFonts w:ascii="Times New Roman" w:eastAsia="Times New Roman" w:hAnsi="Times New Roman" w:cs="Times New Roman"/>
                <w:b/>
                <w:sz w:val="20"/>
                <w:szCs w:val="24"/>
                <w:lang w:eastAsia="en-GB"/>
              </w:rPr>
              <w:t>Atsakymas</w:t>
            </w:r>
          </w:p>
        </w:tc>
        <w:tc>
          <w:tcPr>
            <w:tcW w:w="3285" w:type="dxa"/>
          </w:tcPr>
          <w:p w:rsidR="003666D2" w:rsidRPr="003666D2" w:rsidRDefault="003666D2" w:rsidP="003666D2">
            <w:pPr>
              <w:spacing w:line="360" w:lineRule="auto"/>
              <w:jc w:val="center"/>
              <w:rPr>
                <w:rFonts w:ascii="Times New Roman" w:eastAsia="Times New Roman" w:hAnsi="Times New Roman" w:cs="Times New Roman"/>
                <w:b/>
                <w:sz w:val="20"/>
                <w:szCs w:val="24"/>
                <w:lang w:eastAsia="en-GB"/>
              </w:rPr>
            </w:pPr>
            <w:r w:rsidRPr="003666D2">
              <w:rPr>
                <w:rFonts w:ascii="Times New Roman" w:eastAsia="Times New Roman" w:hAnsi="Times New Roman" w:cs="Times New Roman"/>
                <w:b/>
                <w:sz w:val="20"/>
                <w:szCs w:val="24"/>
                <w:lang w:eastAsia="en-GB"/>
              </w:rPr>
              <w:t>Respondentų sk.</w:t>
            </w:r>
          </w:p>
        </w:tc>
        <w:tc>
          <w:tcPr>
            <w:tcW w:w="3285" w:type="dxa"/>
          </w:tcPr>
          <w:p w:rsidR="003666D2" w:rsidRPr="003666D2" w:rsidRDefault="003666D2" w:rsidP="003666D2">
            <w:pPr>
              <w:spacing w:line="360" w:lineRule="auto"/>
              <w:jc w:val="center"/>
              <w:rPr>
                <w:rFonts w:ascii="Times New Roman" w:eastAsia="Times New Roman" w:hAnsi="Times New Roman" w:cs="Times New Roman"/>
                <w:b/>
                <w:sz w:val="20"/>
                <w:szCs w:val="24"/>
                <w:lang w:eastAsia="en-GB"/>
              </w:rPr>
            </w:pPr>
            <w:r w:rsidRPr="003666D2">
              <w:rPr>
                <w:rFonts w:ascii="Times New Roman" w:eastAsia="Times New Roman" w:hAnsi="Times New Roman" w:cs="Times New Roman"/>
                <w:b/>
                <w:sz w:val="20"/>
                <w:szCs w:val="24"/>
                <w:lang w:eastAsia="en-GB"/>
              </w:rPr>
              <w:t>Respondentų proc.</w:t>
            </w:r>
          </w:p>
        </w:tc>
      </w:tr>
      <w:tr w:rsidR="003666D2" w:rsidRPr="003666D2" w:rsidTr="00C03D80">
        <w:tc>
          <w:tcPr>
            <w:tcW w:w="3284" w:type="dxa"/>
          </w:tcPr>
          <w:p w:rsidR="003666D2" w:rsidRPr="003666D2" w:rsidRDefault="003666D2" w:rsidP="003666D2">
            <w:pPr>
              <w:spacing w:line="360" w:lineRule="auto"/>
              <w:jc w:val="both"/>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Taip</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163</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35,2</w:t>
            </w:r>
          </w:p>
        </w:tc>
      </w:tr>
      <w:tr w:rsidR="003666D2" w:rsidRPr="003666D2" w:rsidTr="00C03D80">
        <w:tc>
          <w:tcPr>
            <w:tcW w:w="3284" w:type="dxa"/>
          </w:tcPr>
          <w:p w:rsidR="003666D2" w:rsidRPr="003666D2" w:rsidRDefault="003666D2" w:rsidP="003666D2">
            <w:pPr>
              <w:spacing w:line="360" w:lineRule="auto"/>
              <w:jc w:val="both"/>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Ne</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88</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18,2</w:t>
            </w:r>
          </w:p>
        </w:tc>
      </w:tr>
      <w:tr w:rsidR="003666D2" w:rsidRPr="003666D2" w:rsidTr="00C03D80">
        <w:tc>
          <w:tcPr>
            <w:tcW w:w="3284" w:type="dxa"/>
          </w:tcPr>
          <w:p w:rsidR="003666D2" w:rsidRPr="003666D2" w:rsidRDefault="003666D2" w:rsidP="003666D2">
            <w:pPr>
              <w:spacing w:line="360" w:lineRule="auto"/>
              <w:jc w:val="both"/>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Negaliu atsakyti</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221</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46,6</w:t>
            </w:r>
          </w:p>
        </w:tc>
      </w:tr>
      <w:tr w:rsidR="003666D2" w:rsidRPr="003666D2" w:rsidTr="00C03D80">
        <w:tc>
          <w:tcPr>
            <w:tcW w:w="3284" w:type="dxa"/>
          </w:tcPr>
          <w:p w:rsidR="003666D2" w:rsidRPr="003666D2" w:rsidRDefault="003666D2" w:rsidP="003666D2">
            <w:pPr>
              <w:spacing w:line="360" w:lineRule="auto"/>
              <w:jc w:val="both"/>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Iš viso</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472</w:t>
            </w:r>
          </w:p>
        </w:tc>
        <w:tc>
          <w:tcPr>
            <w:tcW w:w="3285" w:type="dxa"/>
          </w:tcPr>
          <w:p w:rsidR="003666D2" w:rsidRPr="003666D2" w:rsidRDefault="003666D2" w:rsidP="003666D2">
            <w:pPr>
              <w:spacing w:line="360" w:lineRule="auto"/>
              <w:jc w:val="center"/>
              <w:rPr>
                <w:rFonts w:ascii="Times New Roman" w:eastAsia="Times New Roman" w:hAnsi="Times New Roman" w:cs="Times New Roman"/>
                <w:sz w:val="20"/>
                <w:szCs w:val="24"/>
                <w:lang w:eastAsia="en-GB"/>
              </w:rPr>
            </w:pPr>
            <w:r w:rsidRPr="003666D2">
              <w:rPr>
                <w:rFonts w:ascii="Times New Roman" w:eastAsia="Times New Roman" w:hAnsi="Times New Roman" w:cs="Times New Roman"/>
                <w:sz w:val="20"/>
                <w:szCs w:val="24"/>
                <w:lang w:eastAsia="en-GB"/>
              </w:rPr>
              <w:t>100</w:t>
            </w:r>
          </w:p>
        </w:tc>
      </w:tr>
    </w:tbl>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 xml:space="preserve">Remdamiesi diagrama (18 pav.) aiškiai matyti, jog tik 26,4 % respondentų šeimų imtųsi smulkaus verslo, jei jo pradžiai būtų suteikta ES parama. Vis dėl to dauguma (73,6%) respondentų nėra linkę imtis iniciatyvos. Iš to galime spręsti, jog Šėtos seniūnijos gyventojams trūksta verslumą skatinančių seminarų ir pan. </w:t>
      </w:r>
    </w:p>
    <w:p w:rsidR="003666D2" w:rsidRPr="003666D2" w:rsidRDefault="003666D2" w:rsidP="003666D2">
      <w:pPr>
        <w:spacing w:after="0" w:line="240" w:lineRule="auto"/>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326BA309" wp14:editId="665A6B01">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66D2" w:rsidRPr="003666D2" w:rsidRDefault="003666D2" w:rsidP="003666D2">
      <w:pPr>
        <w:spacing w:after="0" w:line="240" w:lineRule="auto"/>
        <w:ind w:firstLine="720"/>
        <w:jc w:val="center"/>
        <w:rPr>
          <w:rFonts w:ascii="Times New Roman" w:eastAsia="Times New Roman" w:hAnsi="Times New Roman" w:cs="Times New Roman"/>
          <w:b/>
          <w:sz w:val="24"/>
          <w:szCs w:val="24"/>
          <w:lang w:eastAsia="lt-LT"/>
        </w:rPr>
      </w:pPr>
      <w:r w:rsidRPr="003666D2">
        <w:rPr>
          <w:rFonts w:ascii="Times New Roman" w:eastAsia="Times New Roman" w:hAnsi="Times New Roman" w:cs="Times New Roman"/>
          <w:b/>
          <w:sz w:val="24"/>
          <w:szCs w:val="24"/>
          <w:lang w:eastAsia="lt-LT"/>
        </w:rPr>
        <w:t>18 pav. Respondentų atsakymas, ar imtųsi smulkaus verslo, jei jo pradžiai būtų suteikta ES parama, procentais</w:t>
      </w:r>
    </w:p>
    <w:p w:rsidR="003666D2" w:rsidRPr="003666D2" w:rsidRDefault="003666D2" w:rsidP="003666D2">
      <w:pPr>
        <w:spacing w:after="0" w:line="240" w:lineRule="auto"/>
        <w:rPr>
          <w:rFonts w:ascii="Times New Roman" w:eastAsia="Times New Roman" w:hAnsi="Times New Roman" w:cs="Times New Roman"/>
          <w:b/>
          <w:sz w:val="24"/>
          <w:szCs w:val="24"/>
          <w:lang w:eastAsia="lt-LT"/>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lt-LT"/>
        </w:rPr>
      </w:pPr>
      <w:r w:rsidRPr="003666D2">
        <w:rPr>
          <w:rFonts w:ascii="Times New Roman" w:eastAsia="Times New Roman" w:hAnsi="Times New Roman" w:cs="Times New Roman"/>
          <w:sz w:val="24"/>
          <w:szCs w:val="24"/>
          <w:lang w:eastAsia="lt-LT"/>
        </w:rPr>
        <w:t xml:space="preserve">Atsižvelgiant į Lietuvos kaimo situaciją ir jaunų žmonių išlaikymą jame, atliekant apklausą buvo domėtasi respondentų nuomone, kokios konkrečios priemonės pagerintų kaimo jaunimo (iki 29m.) situaciją. Respondentai galėjo rinktis kelis variantus (19 pav.), tačiau daugiausiai pritarimo sulaukė galimybių jauniems žmonėms dirbti sudarymo priemonės. 47,8% respondentų mano, jog tai pagerintų situaciją. Kita priemonė – jaunimo verslo iniciatyvų finansavimas. Ši priemonė sulaukė </w:t>
      </w:r>
      <w:r w:rsidRPr="003666D2">
        <w:rPr>
          <w:rFonts w:ascii="Times New Roman" w:eastAsia="Times New Roman" w:hAnsi="Times New Roman" w:cs="Times New Roman"/>
          <w:sz w:val="24"/>
          <w:szCs w:val="24"/>
          <w:lang w:eastAsia="lt-LT"/>
        </w:rPr>
        <w:lastRenderedPageBreak/>
        <w:t xml:space="preserve">43,7 % pritariančiųjų respondentų.  39,7% apklaustųjų mano, jog laisvalaikio galimybių didinimas taip pat pagerintų kaimo jaunimo situaciją. </w:t>
      </w:r>
    </w:p>
    <w:p w:rsidR="003666D2" w:rsidRPr="003666D2" w:rsidRDefault="003666D2" w:rsidP="003666D2">
      <w:pPr>
        <w:spacing w:after="0" w:line="240" w:lineRule="auto"/>
        <w:jc w:val="center"/>
        <w:rPr>
          <w:rFonts w:ascii="Times New Roman" w:eastAsia="Times New Roman" w:hAnsi="Times New Roman" w:cs="Times New Roman"/>
          <w:sz w:val="24"/>
          <w:szCs w:val="24"/>
          <w:lang w:eastAsia="en-GB"/>
        </w:rPr>
      </w:pPr>
      <w:r w:rsidRPr="003666D2">
        <w:rPr>
          <w:rFonts w:ascii="Times New Roman" w:eastAsia="Times New Roman" w:hAnsi="Times New Roman" w:cs="Times New Roman"/>
          <w:noProof/>
          <w:sz w:val="24"/>
          <w:szCs w:val="24"/>
          <w:lang w:eastAsia="lt-LT"/>
        </w:rPr>
        <w:drawing>
          <wp:inline distT="0" distB="0" distL="0" distR="0" wp14:anchorId="35C8044B" wp14:editId="55597F8C">
            <wp:extent cx="5953125" cy="35623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66D2" w:rsidRPr="003666D2" w:rsidRDefault="003666D2" w:rsidP="003666D2">
      <w:pPr>
        <w:spacing w:after="0" w:line="240" w:lineRule="auto"/>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t>19 pav. Respondentų nuomonė, kokios priemonės pagerintų kaimo jaunimo situaciją, procentais</w:t>
      </w:r>
    </w:p>
    <w:p w:rsidR="003666D2" w:rsidRPr="003666D2" w:rsidRDefault="003666D2" w:rsidP="003666D2">
      <w:pPr>
        <w:spacing w:after="0" w:line="240" w:lineRule="auto"/>
        <w:jc w:val="center"/>
        <w:rPr>
          <w:rFonts w:ascii="Times New Roman" w:eastAsia="Times New Roman" w:hAnsi="Times New Roman" w:cs="Times New Roman"/>
          <w:b/>
          <w:sz w:val="24"/>
          <w:szCs w:val="24"/>
          <w:lang w:eastAsia="en-GB"/>
        </w:rPr>
      </w:pP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lt-LT"/>
        </w:rPr>
      </w:pPr>
      <w:r w:rsidRPr="003666D2">
        <w:rPr>
          <w:rFonts w:ascii="Times New Roman" w:eastAsia="Times New Roman" w:hAnsi="Times New Roman" w:cs="Times New Roman"/>
          <w:sz w:val="24"/>
          <w:szCs w:val="24"/>
          <w:lang w:eastAsia="lt-LT"/>
        </w:rPr>
        <w:t xml:space="preserve">Atsižvelgiant į diagramą (19 pav.), akivaizdžiai matome tą pačią problemą, kuri buvo identifikuota prieš tai atliktose analizėse (6 lent.). Tik 24,6 % respondentų mano, jog jaunimo įtraukimas į savanorišką veiklą pagerintų jo situaciją kaime. Kai tuo tarpu likusi dalis, t.y. 75,4% respondentų  šios priemonės neįvardija, kaip naudingos ir efektyvios. </w:t>
      </w:r>
    </w:p>
    <w:p w:rsidR="003666D2" w:rsidRPr="003666D2" w:rsidRDefault="003666D2" w:rsidP="003666D2">
      <w:pPr>
        <w:spacing w:after="0" w:line="360" w:lineRule="auto"/>
        <w:ind w:firstLine="720"/>
        <w:jc w:val="both"/>
        <w:rPr>
          <w:rFonts w:ascii="Times New Roman" w:eastAsia="Times New Roman" w:hAnsi="Times New Roman" w:cs="Times New Roman"/>
          <w:sz w:val="24"/>
          <w:szCs w:val="24"/>
          <w:lang w:eastAsia="lt-LT"/>
        </w:rPr>
      </w:pPr>
      <w:r w:rsidRPr="003666D2">
        <w:rPr>
          <w:rFonts w:ascii="Times New Roman" w:eastAsia="Times New Roman" w:hAnsi="Times New Roman" w:cs="Times New Roman"/>
          <w:sz w:val="24"/>
          <w:szCs w:val="24"/>
          <w:lang w:eastAsia="lt-LT"/>
        </w:rPr>
        <w:t xml:space="preserve">Taigi, išanalizavus ir apibendrinus tyrimo rezultatus, didžiausią dalį respondentų sudarė Šėtos miestelio gyventojai, o taip pat daugumos amžius buvo 46- 64 m. Ši amžiaus grupė didžiausias seniūnijos grėsmes ir problemas įžvelgė, tokias kaip nedarbą ir mažas gyventojų pajamas, todėl ir respondentų atitinkami atsakymų pasirinkimai lėmė tai, jog didžiausias dėmesys ir sprendimai turi būti skirti būtent šioms probleminėms sritims. Be kita ko, respondentai ne itin entuziastingai linkę į savanorystę ir tik ~1/3 savanoriškai prisidėtų prie vietos bendruomenės veiklos. O taip pat gyventojai nėra optimistiški ir smulkaus verslo sektoriaus perspektyvoje. Net 73,6% nesiimtų smulkaus verslo iniciatyvos ir tuo atveju, jei jiems būtų suteikta ES parama. </w:t>
      </w:r>
    </w:p>
    <w:p w:rsidR="003666D2" w:rsidRPr="003666D2" w:rsidRDefault="003666D2" w:rsidP="003666D2">
      <w:pPr>
        <w:autoSpaceDE w:val="0"/>
        <w:autoSpaceDN w:val="0"/>
        <w:adjustRightInd w:val="0"/>
        <w:spacing w:after="0" w:line="360" w:lineRule="auto"/>
        <w:ind w:firstLine="709"/>
        <w:jc w:val="both"/>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t>Labiausiai respondentams gyvenvietėse trūksta buitinių paslaugų. Tokį trūkumą pasirinko 323 apklaustieji, o tai sudaro 70,9% atsakiusiųjų. Dažniausiai trūkstama paslauga būdavo įvardijama srutų/ nuotekų išvežimas.</w:t>
      </w:r>
    </w:p>
    <w:p w:rsidR="003666D2" w:rsidRPr="003666D2" w:rsidRDefault="003666D2" w:rsidP="003666D2">
      <w:pPr>
        <w:rPr>
          <w:rFonts w:ascii="Times New Roman" w:eastAsia="Times New Roman" w:hAnsi="Times New Roman" w:cs="Times New Roman"/>
          <w:sz w:val="24"/>
          <w:szCs w:val="24"/>
          <w:lang w:eastAsia="en-GB"/>
        </w:rPr>
      </w:pPr>
      <w:r w:rsidRPr="003666D2">
        <w:rPr>
          <w:rFonts w:ascii="Times New Roman" w:eastAsia="Times New Roman" w:hAnsi="Times New Roman" w:cs="Times New Roman"/>
          <w:sz w:val="24"/>
          <w:szCs w:val="24"/>
          <w:lang w:eastAsia="en-GB"/>
        </w:rPr>
        <w:br w:type="page"/>
      </w:r>
    </w:p>
    <w:p w:rsidR="003666D2" w:rsidRPr="003666D2" w:rsidRDefault="003666D2" w:rsidP="003666D2">
      <w:pPr>
        <w:spacing w:after="0"/>
        <w:jc w:val="center"/>
        <w:rPr>
          <w:rFonts w:ascii="Times New Roman" w:eastAsia="Times New Roman" w:hAnsi="Times New Roman" w:cs="Times New Roman"/>
          <w:b/>
          <w:sz w:val="24"/>
          <w:szCs w:val="24"/>
          <w:lang w:eastAsia="en-GB"/>
        </w:rPr>
      </w:pPr>
      <w:r w:rsidRPr="003666D2">
        <w:rPr>
          <w:rFonts w:ascii="Times New Roman" w:eastAsia="Times New Roman" w:hAnsi="Times New Roman" w:cs="Times New Roman"/>
          <w:b/>
          <w:sz w:val="24"/>
          <w:szCs w:val="24"/>
          <w:lang w:eastAsia="en-GB"/>
        </w:rPr>
        <w:lastRenderedPageBreak/>
        <w:t>Dažnių ir procentų lentelės</w:t>
      </w:r>
    </w:p>
    <w:p w:rsidR="003666D2" w:rsidRPr="003666D2" w:rsidRDefault="003666D2" w:rsidP="003666D2">
      <w:pPr>
        <w:spacing w:after="0"/>
        <w:jc w:val="center"/>
        <w:rPr>
          <w:rFonts w:ascii="Times New Roman" w:eastAsia="Times New Roman" w:hAnsi="Times New Roman" w:cs="Times New Roman"/>
          <w:b/>
          <w:sz w:val="24"/>
          <w:szCs w:val="24"/>
          <w:lang w:eastAsia="en-GB"/>
        </w:rPr>
      </w:pPr>
    </w:p>
    <w:p w:rsidR="003666D2" w:rsidRPr="003666D2" w:rsidRDefault="003666D2" w:rsidP="003666D2">
      <w:pPr>
        <w:spacing w:after="0" w:line="240" w:lineRule="auto"/>
        <w:jc w:val="center"/>
        <w:rPr>
          <w:rFonts w:ascii="Times New Roman" w:eastAsia="Times New Roman" w:hAnsi="Times New Roman" w:cs="Times New Roman"/>
          <w:b/>
          <w:sz w:val="24"/>
          <w:szCs w:val="20"/>
          <w:lang w:eastAsia="en-GB"/>
        </w:rPr>
      </w:pPr>
      <w:r w:rsidRPr="003666D2">
        <w:rPr>
          <w:rFonts w:ascii="Times New Roman" w:eastAsia="Times New Roman" w:hAnsi="Times New Roman" w:cs="Times New Roman"/>
          <w:b/>
          <w:sz w:val="24"/>
          <w:szCs w:val="20"/>
          <w:lang w:eastAsia="en-GB"/>
        </w:rPr>
        <w:t>Gyvenamoji vieta</w:t>
      </w:r>
    </w:p>
    <w:tbl>
      <w:tblPr>
        <w:tblW w:w="454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614"/>
        <w:gridCol w:w="1169"/>
        <w:gridCol w:w="1030"/>
      </w:tblGrid>
      <w:tr w:rsidR="003666D2" w:rsidRPr="003666D2" w:rsidTr="00C03D80">
        <w:trPr>
          <w:cantSplit/>
          <w:jc w:val="center"/>
        </w:trPr>
        <w:tc>
          <w:tcPr>
            <w:tcW w:w="2350"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Dažnis</w:t>
            </w:r>
          </w:p>
        </w:tc>
        <w:tc>
          <w:tcPr>
            <w:tcW w:w="1030"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Procentai</w:t>
            </w:r>
          </w:p>
        </w:tc>
      </w:tr>
      <w:tr w:rsidR="003666D2" w:rsidRPr="003666D2" w:rsidTr="00C03D80">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right="60"/>
              <w:rPr>
                <w:rFonts w:ascii="Times New Roman" w:eastAsia="Times New Roman" w:hAnsi="Times New Roman" w:cs="Times New Roman"/>
                <w:sz w:val="20"/>
                <w:szCs w:val="20"/>
                <w:lang w:eastAsia="en-GB"/>
              </w:rPr>
            </w:pPr>
          </w:p>
        </w:tc>
        <w:tc>
          <w:tcPr>
            <w:tcW w:w="1614"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Šėtos miestelis</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241</w:t>
            </w:r>
          </w:p>
        </w:tc>
        <w:tc>
          <w:tcPr>
            <w:tcW w:w="1030"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51,1</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Pagiriai</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170</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36,0</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Sangailai</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16</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3,4</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Vaiškonys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0,6</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Piliakalnis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0,2</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Kapliai</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41</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8,7</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614" w:type="dxa"/>
            <w:tcBorders>
              <w:top w:val="nil"/>
              <w:left w:val="nil"/>
              <w:bottom w:val="single" w:sz="16" w:space="0" w:color="000000"/>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472</w:t>
            </w:r>
          </w:p>
        </w:tc>
        <w:tc>
          <w:tcPr>
            <w:tcW w:w="1030"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100,0</w:t>
            </w:r>
          </w:p>
        </w:tc>
      </w:tr>
    </w:tbl>
    <w:p w:rsidR="003666D2" w:rsidRPr="003666D2" w:rsidRDefault="003666D2" w:rsidP="003666D2">
      <w:pPr>
        <w:spacing w:after="0" w:line="240" w:lineRule="auto"/>
        <w:rPr>
          <w:rFonts w:ascii="Times New Roman" w:eastAsia="Times New Roman" w:hAnsi="Times New Roman" w:cs="Times New Roman"/>
          <w:b/>
          <w:sz w:val="24"/>
          <w:szCs w:val="20"/>
          <w:lang w:eastAsia="en-GB"/>
        </w:rPr>
      </w:pPr>
    </w:p>
    <w:p w:rsidR="003666D2" w:rsidRPr="003666D2" w:rsidRDefault="003666D2" w:rsidP="003666D2">
      <w:pPr>
        <w:spacing w:after="0" w:line="240" w:lineRule="auto"/>
        <w:jc w:val="center"/>
        <w:rPr>
          <w:rFonts w:ascii="Times New Roman" w:eastAsia="Times New Roman" w:hAnsi="Times New Roman" w:cs="Times New Roman"/>
          <w:b/>
          <w:sz w:val="24"/>
          <w:szCs w:val="20"/>
          <w:lang w:eastAsia="en-GB"/>
        </w:rPr>
      </w:pPr>
      <w:r w:rsidRPr="003666D2">
        <w:rPr>
          <w:rFonts w:ascii="Times New Roman" w:eastAsia="Times New Roman" w:hAnsi="Times New Roman" w:cs="Times New Roman"/>
          <w:b/>
          <w:sz w:val="24"/>
          <w:szCs w:val="20"/>
          <w:lang w:eastAsia="en-GB"/>
        </w:rPr>
        <w:t>Amžius</w:t>
      </w:r>
    </w:p>
    <w:tbl>
      <w:tblPr>
        <w:tblW w:w="422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169"/>
        <w:gridCol w:w="1030"/>
      </w:tblGrid>
      <w:tr w:rsidR="003666D2" w:rsidRPr="003666D2" w:rsidTr="00C03D80">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Dažnis</w:t>
            </w:r>
          </w:p>
        </w:tc>
        <w:tc>
          <w:tcPr>
            <w:tcW w:w="1030"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Procentai</w:t>
            </w:r>
          </w:p>
        </w:tc>
      </w:tr>
      <w:tr w:rsidR="003666D2" w:rsidRPr="003666D2" w:rsidTr="00C03D80">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right="60"/>
              <w:rPr>
                <w:rFonts w:ascii="Times New Roman" w:eastAsia="Times New Roman" w:hAnsi="Times New Roman" w:cs="Times New Roman"/>
                <w:sz w:val="20"/>
                <w:szCs w:val="20"/>
                <w:lang w:eastAsia="en-GB"/>
              </w:rPr>
            </w:pPr>
          </w:p>
        </w:tc>
        <w:tc>
          <w:tcPr>
            <w:tcW w:w="129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18-29</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95</w:t>
            </w:r>
          </w:p>
        </w:tc>
        <w:tc>
          <w:tcPr>
            <w:tcW w:w="1030"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20,1</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29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30-45</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139</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29,4</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29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46-64</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173</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36,7</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29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65 ir vyresni</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65</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13,8</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eastAsia="Times New Roman" w:hAnsi="Times New Roman" w:cs="Times New Roman"/>
                <w:sz w:val="20"/>
                <w:szCs w:val="20"/>
                <w:lang w:eastAsia="en-GB"/>
              </w:rPr>
            </w:pPr>
          </w:p>
        </w:tc>
        <w:tc>
          <w:tcPr>
            <w:tcW w:w="1292" w:type="dxa"/>
            <w:tcBorders>
              <w:top w:val="nil"/>
              <w:left w:val="nil"/>
              <w:bottom w:val="single" w:sz="16" w:space="0" w:color="000000"/>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472</w:t>
            </w:r>
          </w:p>
        </w:tc>
        <w:tc>
          <w:tcPr>
            <w:tcW w:w="1030"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eastAsia="Times New Roman" w:hAnsi="Times New Roman" w:cs="Times New Roman"/>
                <w:sz w:val="20"/>
                <w:szCs w:val="20"/>
                <w:lang w:eastAsia="en-GB"/>
              </w:rPr>
            </w:pPr>
            <w:r w:rsidRPr="003666D2">
              <w:rPr>
                <w:rFonts w:ascii="Times New Roman" w:eastAsia="Times New Roman" w:hAnsi="Times New Roman" w:cs="Times New Roman"/>
                <w:sz w:val="20"/>
                <w:szCs w:val="20"/>
                <w:lang w:eastAsia="en-GB"/>
              </w:rPr>
              <w:t>100,0</w:t>
            </w:r>
          </w:p>
        </w:tc>
      </w:tr>
    </w:tbl>
    <w:p w:rsidR="003666D2" w:rsidRPr="003666D2" w:rsidRDefault="003666D2" w:rsidP="003666D2">
      <w:pPr>
        <w:spacing w:after="0" w:line="240" w:lineRule="auto"/>
        <w:rPr>
          <w:rFonts w:ascii="Times New Roman" w:eastAsia="Times New Roman" w:hAnsi="Times New Roman" w:cs="Times New Roman"/>
          <w:b/>
          <w:sz w:val="20"/>
          <w:szCs w:val="20"/>
          <w:lang w:eastAsia="en-GB"/>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Lytis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Vyras</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186</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39,4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Moteris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281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59,5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467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98,9</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Kartu šeimoje gyvenančių asmenų skaičius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right="60"/>
              <w:rPr>
                <w:rFonts w:ascii="Times New Roman" w:hAnsi="Times New Roman" w:cs="Times New Roman"/>
                <w:sz w:val="20"/>
                <w:szCs w:val="20"/>
              </w:rPr>
            </w:pP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57</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12,1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17,2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12,7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13,1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293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62,1</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179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37,9</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spacing w:after="0" w:line="240" w:lineRule="auto"/>
        <w:rPr>
          <w:rFonts w:ascii="Times New Roman" w:eastAsia="Times New Roman" w:hAnsi="Times New Roman" w:cs="Times New Roman"/>
          <w:b/>
          <w:sz w:val="20"/>
          <w:szCs w:val="20"/>
          <w:lang w:eastAsia="en-GB"/>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Šeimyninė padėtis</w:t>
      </w:r>
    </w:p>
    <w:tbl>
      <w:tblPr>
        <w:tblW w:w="5287"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137"/>
        <w:gridCol w:w="1168"/>
        <w:gridCol w:w="1029"/>
      </w:tblGrid>
      <w:tr w:rsidR="003666D2" w:rsidRPr="003666D2" w:rsidTr="00C03D80">
        <w:trPr>
          <w:cantSplit/>
          <w:jc w:val="center"/>
        </w:trPr>
        <w:tc>
          <w:tcPr>
            <w:tcW w:w="3090"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2137"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Vedęs/ištekėjęs</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278</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58,9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137"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Nevedęs/netekėjusi</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137"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Našlys/našlė</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137"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Išsituokęs/išsituokusi</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7,6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137"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467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98,9</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2137"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w:t>
            </w:r>
          </w:p>
        </w:tc>
      </w:tr>
      <w:tr w:rsidR="003666D2" w:rsidRPr="003666D2" w:rsidTr="00C03D80">
        <w:trPr>
          <w:cantSplit/>
          <w:jc w:val="center"/>
        </w:trPr>
        <w:tc>
          <w:tcPr>
            <w:tcW w:w="3090"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Išsilavinimas</w:t>
      </w:r>
    </w:p>
    <w:tbl>
      <w:tblPr>
        <w:tblW w:w="435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15"/>
        <w:gridCol w:w="1169"/>
        <w:gridCol w:w="1030"/>
      </w:tblGrid>
      <w:tr w:rsidR="003666D2" w:rsidRPr="003666D2" w:rsidTr="00C03D80">
        <w:trPr>
          <w:cantSplit/>
          <w:jc w:val="center"/>
        </w:trPr>
        <w:tc>
          <w:tcPr>
            <w:tcW w:w="2151"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30"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Pradinis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Pagrindinis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8,5</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Vidurinis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94</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19,9</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Profesinis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125</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26,5</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Aukštesnysis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21,0</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Aukštasis</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93</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19,7</w:t>
            </w:r>
          </w:p>
        </w:tc>
      </w:tr>
      <w:tr w:rsidR="003666D2" w:rsidRPr="003666D2"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15" w:type="dxa"/>
            <w:tcBorders>
              <w:top w:val="nil"/>
              <w:left w:val="nil"/>
              <w:bottom w:val="single" w:sz="16" w:space="0" w:color="000000"/>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30"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spacing w:after="0" w:line="240" w:lineRule="auto"/>
        <w:rPr>
          <w:rFonts w:ascii="Times New Roman" w:eastAsia="Times New Roman" w:hAnsi="Times New Roman" w:cs="Times New Roman"/>
          <w:b/>
          <w:sz w:val="24"/>
          <w:szCs w:val="20"/>
          <w:lang w:eastAsia="en-GB"/>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Ar šeimoje yra bedarbių?</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43,4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267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56,6</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b/>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b/>
          <w:sz w:val="24"/>
          <w:szCs w:val="20"/>
        </w:rPr>
      </w:pPr>
      <w:r w:rsidRPr="003666D2">
        <w:rPr>
          <w:rFonts w:ascii="Times New Roman" w:hAnsi="Times New Roman" w:cs="Times New Roman"/>
          <w:b/>
          <w:sz w:val="24"/>
          <w:szCs w:val="20"/>
        </w:rPr>
        <w:t>Pareigos</w:t>
      </w:r>
    </w:p>
    <w:tbl>
      <w:tblPr>
        <w:tblW w:w="5611"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tblGrid>
      <w:tr w:rsidR="003666D2" w:rsidRPr="003666D2" w:rsidTr="00C03D80">
        <w:trPr>
          <w:cantSplit/>
          <w:jc w:val="center"/>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4"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Vadovaujantis darbuotojas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6,6</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Tarnautojas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23,1</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Darbininkas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22,0</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Verslininkas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Ūkininkas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3,4</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Studentas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5,1</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Namų šeimininkė</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7,0</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Bedarbis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11,0</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Pensininkas</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15,0</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Kita</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3,8</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469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99,4</w:t>
            </w:r>
          </w:p>
        </w:tc>
      </w:tr>
      <w:tr w:rsidR="003666D2" w:rsidRPr="003666D2" w:rsidTr="00C03D80">
        <w:trPr>
          <w:cantSplit/>
          <w:jc w:val="center"/>
        </w:trPr>
        <w:tc>
          <w:tcPr>
            <w:tcW w:w="954"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w:t>
            </w:r>
          </w:p>
        </w:tc>
      </w:tr>
      <w:tr w:rsidR="003666D2" w:rsidRPr="003666D2" w:rsidTr="00C03D80">
        <w:trPr>
          <w:cantSplit/>
          <w:jc w:val="center"/>
        </w:trPr>
        <w:tc>
          <w:tcPr>
            <w:tcW w:w="3414"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Pajamos vienam šeimos nariui per mėnesį</w:t>
      </w:r>
    </w:p>
    <w:tbl>
      <w:tblPr>
        <w:tblW w:w="476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15"/>
        <w:gridCol w:w="1168"/>
        <w:gridCol w:w="1029"/>
      </w:tblGrid>
      <w:tr w:rsidR="003666D2" w:rsidRPr="003666D2" w:rsidTr="00C03D80">
        <w:trPr>
          <w:cantSplit/>
          <w:jc w:val="center"/>
        </w:trPr>
        <w:tc>
          <w:tcPr>
            <w:tcW w:w="2568"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615"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Iki 350</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21,0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351-749</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170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36,0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750-1000</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122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25,8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1001-2000</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2001 ir daugiau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461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97,7</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61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2,3</w:t>
            </w:r>
          </w:p>
        </w:tc>
      </w:tr>
      <w:tr w:rsidR="003666D2" w:rsidRPr="003666D2" w:rsidTr="00C03D80">
        <w:trPr>
          <w:cantSplit/>
          <w:jc w:val="center"/>
        </w:trPr>
        <w:tc>
          <w:tcPr>
            <w:tcW w:w="2568"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b/>
          <w:bCs/>
          <w:sz w:val="24"/>
          <w:szCs w:val="20"/>
        </w:rPr>
      </w:pPr>
      <w:r w:rsidRPr="003666D2">
        <w:rPr>
          <w:rFonts w:ascii="Times New Roman" w:hAnsi="Times New Roman" w:cs="Times New Roman"/>
          <w:b/>
          <w:bCs/>
          <w:sz w:val="24"/>
          <w:szCs w:val="20"/>
        </w:rPr>
        <w:t>Gyvenamosios vietos opiausia problema- gyventojų skaičiaus mažėjimas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403</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85,4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14,4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Gyventojų senėjimas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402</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85,2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14,6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Nedarbas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243</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51,5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228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48,3</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Mažos gyventojų pajamos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344</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72,9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126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26,7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99,6</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Paslaugų trūkumas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446</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94,5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99,6</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Bloga viešoji infrastruktūra</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418</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88,6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52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11,0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99,6</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spacing w:after="0" w:line="240" w:lineRule="auto"/>
        <w:rPr>
          <w:rFonts w:ascii="Times New Roman" w:eastAsia="Times New Roman" w:hAnsi="Times New Roman" w:cs="Times New Roman"/>
          <w:b/>
          <w:sz w:val="20"/>
          <w:szCs w:val="20"/>
          <w:lang w:eastAsia="en-GB"/>
        </w:rPr>
      </w:pPr>
    </w:p>
    <w:p w:rsidR="003666D2" w:rsidRPr="003666D2" w:rsidRDefault="003666D2" w:rsidP="003666D2">
      <w:pPr>
        <w:spacing w:after="0" w:line="240" w:lineRule="auto"/>
        <w:rPr>
          <w:rFonts w:ascii="Times New Roman" w:hAnsi="Times New Roman" w:cs="Times New Roman"/>
          <w:sz w:val="24"/>
          <w:szCs w:val="24"/>
        </w:rPr>
      </w:pPr>
    </w:p>
    <w:p w:rsidR="003666D2" w:rsidRPr="003666D2" w:rsidRDefault="003666D2" w:rsidP="003666D2">
      <w:pPr>
        <w:spacing w:after="0" w:line="240" w:lineRule="auto"/>
        <w:jc w:val="center"/>
        <w:rPr>
          <w:rFonts w:ascii="Times New Roman" w:hAnsi="Times New Roman" w:cs="Times New Roman"/>
          <w:sz w:val="24"/>
          <w:szCs w:val="24"/>
        </w:rPr>
      </w:pPr>
      <w:r w:rsidRPr="003666D2">
        <w:rPr>
          <w:rFonts w:ascii="Times New Roman" w:hAnsi="Times New Roman" w:cs="Times New Roman"/>
          <w:b/>
          <w:bCs/>
          <w:sz w:val="24"/>
          <w:szCs w:val="24"/>
        </w:rPr>
        <w:t>Neaktyvūs bendruomenės nariai</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422</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89,4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4"/>
        </w:rPr>
      </w:pPr>
      <w:r w:rsidRPr="003666D2">
        <w:rPr>
          <w:rFonts w:ascii="Times New Roman" w:hAnsi="Times New Roman" w:cs="Times New Roman"/>
          <w:b/>
          <w:bCs/>
          <w:sz w:val="24"/>
          <w:szCs w:val="24"/>
        </w:rPr>
        <w:t>Kaimo mokyklos, med. punkto, pašto, bibliotekos uždarymas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456</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96,6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Vietos gyventojų asmeninės ambicijos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448</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94,9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99,6</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Didelė atskirtis tarp jaunimo ir vyresnio amžiaus bendruomenės narių</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452</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95,8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lastRenderedPageBreak/>
        <w:t>Socialinės problemos</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433</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91,7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99,8</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ES paramos prioritetai. Paslaugų (švietimo, kultūros, sporto) sričių plėtra</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31</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21,0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85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185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39,2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440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93,2</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32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6,8</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Paslaugų socialiai pažeidžiamoms grupėms plėtra</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21</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18,2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24,6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175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37,1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95,1</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4,9</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Viešosios infrastruktūros plėtra</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51</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22,0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20,1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138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29,2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436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92,4</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7,6</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Turizmo infrastruktūros ir paslaugų plėtra</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136</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28,8</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19,9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19,1</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14,4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93,2</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lastRenderedPageBreak/>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6,8</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bl>
      <w:tblPr>
        <w:tblW w:w="7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1"/>
      </w:tblGrid>
      <w:tr w:rsidR="003666D2" w:rsidRPr="003666D2" w:rsidTr="00C03D80">
        <w:trPr>
          <w:cantSplit/>
        </w:trPr>
        <w:tc>
          <w:tcPr>
            <w:tcW w:w="7898" w:type="dxa"/>
            <w:tcBorders>
              <w:top w:val="nil"/>
              <w:left w:val="nil"/>
              <w:bottom w:val="nil"/>
              <w:right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4"/>
                <w:szCs w:val="20"/>
              </w:rPr>
            </w:pPr>
            <w:r w:rsidRPr="003666D2">
              <w:rPr>
                <w:rFonts w:ascii="Times New Roman" w:hAnsi="Times New Roman" w:cs="Times New Roman"/>
                <w:b/>
                <w:bCs/>
                <w:sz w:val="24"/>
                <w:szCs w:val="20"/>
              </w:rPr>
              <w:t xml:space="preserve">                            Bendruomeniškumą skatinančios iniciatyvos</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spacing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82</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17,4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12,5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21,2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15,7</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25,2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434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91,9</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8,1</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spacing w:line="240" w:lineRule="auto"/>
        <w:jc w:val="center"/>
        <w:rPr>
          <w:rFonts w:ascii="Times New Roman" w:eastAsia="Times New Roman" w:hAnsi="Times New Roman" w:cs="Times New Roman"/>
          <w:b/>
          <w:sz w:val="20"/>
          <w:szCs w:val="20"/>
          <w:lang w:eastAsia="en-GB"/>
        </w:rPr>
      </w:pPr>
    </w:p>
    <w:p w:rsidR="003666D2" w:rsidRPr="003666D2" w:rsidRDefault="003666D2" w:rsidP="003666D2">
      <w:pPr>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Savanorystę skatinančios veiklos</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115</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24,4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16,3</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18,2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14,4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17,4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428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90,7</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9,3</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Parama darbo vietų kūrimui</w:t>
      </w:r>
    </w:p>
    <w:tbl>
      <w:tblPr>
        <w:tblW w:w="50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76"/>
        <w:gridCol w:w="1168"/>
        <w:gridCol w:w="1029"/>
      </w:tblGrid>
      <w:tr w:rsidR="003666D2" w:rsidRPr="003666D2" w:rsidTr="00C03D80">
        <w:trPr>
          <w:cantSplit/>
          <w:jc w:val="center"/>
        </w:trPr>
        <w:tc>
          <w:tcPr>
            <w:tcW w:w="2829"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76"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Nesvarbu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17</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Vidutiniškai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8,3</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Labai svarbu</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319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67,6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93,9</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76"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6,1</w:t>
            </w:r>
          </w:p>
        </w:tc>
      </w:tr>
      <w:tr w:rsidR="003666D2" w:rsidRPr="003666D2" w:rsidTr="00C03D80">
        <w:trPr>
          <w:cantSplit/>
          <w:jc w:val="center"/>
        </w:trPr>
        <w:tc>
          <w:tcPr>
            <w:tcW w:w="2829"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spacing w:line="240" w:lineRule="auto"/>
        <w:jc w:val="center"/>
        <w:rPr>
          <w:rFonts w:ascii="Times New Roman" w:eastAsia="Times New Roman" w:hAnsi="Times New Roman" w:cs="Times New Roman"/>
          <w:b/>
          <w:sz w:val="20"/>
          <w:szCs w:val="20"/>
          <w:lang w:eastAsia="en-GB"/>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Buitinės paslaugos (kirpykla, skalbykla, siuvykla</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253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53,6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191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40,5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94,3</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5,7</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lastRenderedPageBreak/>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Vyresnio amžiaus asmenų ir sunkių ligonių priežiūra</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280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59,3</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158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33,5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4,00</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441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93,4</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6,6</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Ar Jūs būtumėte linkę imtis bendruomeninio verslo iniciatyvų ir įgyvendinti bendruomeninį versla skatinančius projektus?</w:t>
      </w:r>
    </w:p>
    <w:tbl>
      <w:tblPr>
        <w:tblW w:w="5611"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tblGrid>
      <w:tr w:rsidR="003666D2" w:rsidRPr="003666D2" w:rsidTr="00C03D80">
        <w:trPr>
          <w:cantSplit/>
          <w:jc w:val="center"/>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4"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2460"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 tai būtų įdomu</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87</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18,4</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Jau šiuo metu svarstome apie tokių projekto galimybę</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6,1</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Tokių projektų neplanuojame</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128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27,1</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Nežinome, sunku atsakyti</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221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46,8</w:t>
            </w:r>
          </w:p>
        </w:tc>
      </w:tr>
      <w:tr w:rsidR="003666D2" w:rsidRPr="003666D2" w:rsidTr="00C03D80">
        <w:trPr>
          <w:cantSplit/>
          <w:jc w:val="center"/>
        </w:trPr>
        <w:tc>
          <w:tcPr>
            <w:tcW w:w="954"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98,5</w:t>
            </w:r>
          </w:p>
        </w:tc>
      </w:tr>
      <w:tr w:rsidR="003666D2" w:rsidRPr="003666D2" w:rsidTr="00C03D80">
        <w:trPr>
          <w:cantSplit/>
          <w:jc w:val="center"/>
        </w:trPr>
        <w:tc>
          <w:tcPr>
            <w:tcW w:w="954"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246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1,5</w:t>
            </w:r>
          </w:p>
        </w:tc>
      </w:tr>
      <w:tr w:rsidR="003666D2" w:rsidRPr="003666D2" w:rsidTr="00C03D80">
        <w:trPr>
          <w:cantSplit/>
          <w:jc w:val="center"/>
        </w:trPr>
        <w:tc>
          <w:tcPr>
            <w:tcW w:w="3414"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Ar prisidėtumėte prie NVO ar kaimo bendruomenės paslaugų vietos gyventojams teikimo savanorišku darbu?</w:t>
      </w:r>
    </w:p>
    <w:tbl>
      <w:tblPr>
        <w:tblW w:w="478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30"/>
        <w:gridCol w:w="1168"/>
        <w:gridCol w:w="1029"/>
      </w:tblGrid>
      <w:tr w:rsidR="003666D2" w:rsidRPr="003666D2" w:rsidTr="00C03D80">
        <w:trPr>
          <w:cantSplit/>
          <w:jc w:val="center"/>
        </w:trPr>
        <w:tc>
          <w:tcPr>
            <w:tcW w:w="2583"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3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163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34,5</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3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85</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18,0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3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Negaliu atsakyti</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217</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46,0</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63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98,7</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630"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6</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1,3</w:t>
            </w:r>
          </w:p>
        </w:tc>
      </w:tr>
      <w:tr w:rsidR="003666D2" w:rsidRPr="003666D2" w:rsidTr="00C03D80">
        <w:trPr>
          <w:cantSplit/>
          <w:jc w:val="center"/>
        </w:trPr>
        <w:tc>
          <w:tcPr>
            <w:tcW w:w="2583"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tbl>
      <w:tblPr>
        <w:tblW w:w="7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70"/>
      </w:tblGrid>
      <w:tr w:rsidR="003666D2" w:rsidRPr="003666D2" w:rsidTr="00C03D80">
        <w:trPr>
          <w:cantSplit/>
        </w:trPr>
        <w:tc>
          <w:tcPr>
            <w:tcW w:w="7867" w:type="dxa"/>
            <w:tcBorders>
              <w:top w:val="nil"/>
              <w:left w:val="nil"/>
              <w:bottom w:val="nil"/>
              <w:right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4"/>
                <w:szCs w:val="20"/>
              </w:rPr>
            </w:pPr>
            <w:r w:rsidRPr="003666D2">
              <w:rPr>
                <w:rFonts w:ascii="Times New Roman" w:hAnsi="Times New Roman" w:cs="Times New Roman"/>
                <w:b/>
                <w:bCs/>
                <w:sz w:val="24"/>
                <w:szCs w:val="20"/>
              </w:rPr>
              <w:t>Ar Jūs/Jūsų šeima imtųsi smulkaus verslo, jei jo pradžiai būtų suteikta ES parama?</w:t>
            </w:r>
          </w:p>
        </w:tc>
      </w:tr>
    </w:tbl>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bl>
      <w:tblPr>
        <w:tblW w:w="4995"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845"/>
        <w:gridCol w:w="1168"/>
        <w:gridCol w:w="1029"/>
      </w:tblGrid>
      <w:tr w:rsidR="003666D2" w:rsidRPr="003666D2" w:rsidTr="00C03D80">
        <w:trPr>
          <w:cantSplit/>
          <w:jc w:val="center"/>
        </w:trPr>
        <w:tc>
          <w:tcPr>
            <w:tcW w:w="2798"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8"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1845"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,00</w:t>
            </w:r>
          </w:p>
        </w:tc>
        <w:tc>
          <w:tcPr>
            <w:tcW w:w="1168"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4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 įvardinkite ką</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121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25,6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4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338</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71,6</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4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3,00</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84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462</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97,9</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1845"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8"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2,1</w:t>
            </w:r>
          </w:p>
        </w:tc>
      </w:tr>
      <w:tr w:rsidR="003666D2" w:rsidRPr="003666D2" w:rsidTr="00C03D80">
        <w:trPr>
          <w:cantSplit/>
          <w:jc w:val="center"/>
        </w:trPr>
        <w:tc>
          <w:tcPr>
            <w:tcW w:w="2798"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8"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rPr>
          <w:rFonts w:ascii="Times New Roman" w:hAnsi="Times New Roman" w:cs="Times New Roman"/>
          <w:sz w:val="24"/>
          <w:szCs w:val="20"/>
        </w:rPr>
      </w:pPr>
    </w:p>
    <w:p w:rsidR="003666D2" w:rsidRPr="003666D2" w:rsidRDefault="003666D2" w:rsidP="003666D2">
      <w:pPr>
        <w:autoSpaceDE w:val="0"/>
        <w:autoSpaceDN w:val="0"/>
        <w:adjustRightInd w:val="0"/>
        <w:spacing w:after="0" w:line="240" w:lineRule="auto"/>
        <w:jc w:val="center"/>
        <w:rPr>
          <w:rFonts w:ascii="Times New Roman" w:hAnsi="Times New Roman" w:cs="Times New Roman"/>
          <w:sz w:val="24"/>
          <w:szCs w:val="20"/>
        </w:rPr>
      </w:pPr>
      <w:r w:rsidRPr="003666D2">
        <w:rPr>
          <w:rFonts w:ascii="Times New Roman" w:hAnsi="Times New Roman" w:cs="Times New Roman"/>
          <w:b/>
          <w:bCs/>
          <w:sz w:val="24"/>
          <w:szCs w:val="20"/>
        </w:rPr>
        <w:t>Jaunimo įtraukimas į savanorišką veiklą</w:t>
      </w:r>
    </w:p>
    <w:tbl>
      <w:tblPr>
        <w:tblW w:w="4073"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tblGrid>
      <w:tr w:rsidR="003666D2" w:rsidRPr="003666D2"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Dažnis</w:t>
            </w:r>
          </w:p>
        </w:tc>
        <w:tc>
          <w:tcPr>
            <w:tcW w:w="1029" w:type="dxa"/>
            <w:tcBorders>
              <w:top w:val="single" w:sz="16" w:space="0" w:color="000000"/>
              <w:bottom w:val="single" w:sz="16" w:space="0" w:color="000000"/>
            </w:tcBorders>
            <w:shd w:val="clear" w:color="auto" w:fill="FFFFFF"/>
            <w:vAlign w:val="bottom"/>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sz w:val="20"/>
                <w:szCs w:val="20"/>
              </w:rPr>
            </w:pPr>
            <w:r w:rsidRPr="003666D2">
              <w:rPr>
                <w:rFonts w:ascii="Times New Roman" w:hAnsi="Times New Roman" w:cs="Times New Roman"/>
                <w:sz w:val="20"/>
                <w:szCs w:val="20"/>
              </w:rPr>
              <w:t>Procentai</w:t>
            </w:r>
          </w:p>
        </w:tc>
      </w:tr>
      <w:tr w:rsidR="003666D2" w:rsidRPr="003666D2"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Valid</w:t>
            </w:r>
          </w:p>
        </w:tc>
        <w:tc>
          <w:tcPr>
            <w:tcW w:w="922" w:type="dxa"/>
            <w:tcBorders>
              <w:top w:val="single" w:sz="16" w:space="0" w:color="000000"/>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349</w:t>
            </w:r>
          </w:p>
        </w:tc>
        <w:tc>
          <w:tcPr>
            <w:tcW w:w="1029"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73,9</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114</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24,2</w:t>
            </w:r>
          </w:p>
        </w:tc>
      </w:tr>
      <w:tr w:rsidR="003666D2" w:rsidRPr="003666D2"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463</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98,1</w:t>
            </w:r>
          </w:p>
        </w:tc>
      </w:tr>
      <w:tr w:rsidR="003666D2" w:rsidRPr="003666D2" w:rsidTr="00C03D80">
        <w:trPr>
          <w:cantSplit/>
          <w:jc w:val="center"/>
        </w:trPr>
        <w:tc>
          <w:tcPr>
            <w:tcW w:w="953" w:type="dxa"/>
            <w:tcBorders>
              <w:top w:val="nil"/>
              <w:left w:val="single" w:sz="16" w:space="0" w:color="000000"/>
              <w:bottom w:val="nil"/>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Missing</w:t>
            </w:r>
          </w:p>
        </w:tc>
        <w:tc>
          <w:tcPr>
            <w:tcW w:w="922" w:type="dxa"/>
            <w:tcBorders>
              <w:top w:val="nil"/>
              <w:left w:val="nil"/>
              <w:bottom w:val="nil"/>
              <w:right w:val="single" w:sz="16" w:space="0" w:color="000000"/>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System</w:t>
            </w:r>
          </w:p>
        </w:tc>
        <w:tc>
          <w:tcPr>
            <w:tcW w:w="1169" w:type="dxa"/>
            <w:tcBorders>
              <w:top w:val="nil"/>
              <w:left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9</w:t>
            </w:r>
          </w:p>
        </w:tc>
        <w:tc>
          <w:tcPr>
            <w:tcW w:w="1029"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1,9</w:t>
            </w:r>
          </w:p>
        </w:tc>
      </w:tr>
      <w:tr w:rsidR="003666D2" w:rsidRPr="003666D2"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Total</w:t>
            </w:r>
          </w:p>
        </w:tc>
        <w:tc>
          <w:tcPr>
            <w:tcW w:w="1169" w:type="dxa"/>
            <w:tcBorders>
              <w:top w:val="nil"/>
              <w:left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472</w:t>
            </w:r>
          </w:p>
        </w:tc>
        <w:tc>
          <w:tcPr>
            <w:tcW w:w="1029"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rPr>
                <w:rFonts w:ascii="Times New Roman" w:hAnsi="Times New Roman" w:cs="Times New Roman"/>
                <w:sz w:val="20"/>
                <w:szCs w:val="20"/>
              </w:rPr>
            </w:pPr>
            <w:r w:rsidRPr="003666D2">
              <w:rPr>
                <w:rFonts w:ascii="Times New Roman" w:hAnsi="Times New Roman" w:cs="Times New Roman"/>
                <w:sz w:val="20"/>
                <w:szCs w:val="20"/>
              </w:rPr>
              <w:t>100,0</w:t>
            </w:r>
          </w:p>
        </w:tc>
      </w:tr>
    </w:tbl>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p w:rsidR="003666D2" w:rsidRPr="003666D2" w:rsidRDefault="003666D2" w:rsidP="003666D2">
      <w:pPr>
        <w:spacing w:line="240" w:lineRule="auto"/>
        <w:rPr>
          <w:rFonts w:ascii="Times New Roman" w:eastAsia="Times New Roman" w:hAnsi="Times New Roman" w:cs="Times New Roman"/>
          <w:b/>
          <w:sz w:val="20"/>
          <w:szCs w:val="20"/>
          <w:lang w:eastAsia="en-GB"/>
        </w:rPr>
      </w:pPr>
    </w:p>
    <w:p w:rsidR="003666D2" w:rsidRPr="003666D2" w:rsidRDefault="003666D2" w:rsidP="003666D2">
      <w:pPr>
        <w:spacing w:after="0" w:line="240" w:lineRule="auto"/>
        <w:rPr>
          <w:rFonts w:ascii="Times New Roman" w:eastAsia="Times New Roman" w:hAnsi="Times New Roman" w:cs="Times New Roman"/>
          <w:b/>
          <w:sz w:val="20"/>
          <w:szCs w:val="20"/>
          <w:lang w:eastAsia="en-GB"/>
        </w:rPr>
      </w:pPr>
      <w:r w:rsidRPr="003666D2">
        <w:rPr>
          <w:rFonts w:ascii="Times New Roman" w:eastAsia="Times New Roman" w:hAnsi="Times New Roman" w:cs="Times New Roman"/>
          <w:b/>
          <w:sz w:val="20"/>
          <w:szCs w:val="20"/>
          <w:lang w:eastAsia="en-GB"/>
        </w:rPr>
        <w:br w:type="page"/>
      </w:r>
    </w:p>
    <w:p w:rsidR="003666D2" w:rsidRPr="003666D2" w:rsidRDefault="003666D2" w:rsidP="003666D2">
      <w:pPr>
        <w:spacing w:after="0" w:line="240" w:lineRule="auto"/>
        <w:jc w:val="center"/>
        <w:rPr>
          <w:rFonts w:ascii="Times New Roman" w:hAnsi="Times New Roman" w:cs="Times New Roman"/>
          <w:sz w:val="32"/>
          <w:szCs w:val="24"/>
        </w:rPr>
      </w:pPr>
      <w:r w:rsidRPr="003666D2">
        <w:rPr>
          <w:rFonts w:ascii="Times New Roman" w:eastAsia="Times New Roman" w:hAnsi="Times New Roman" w:cs="Times New Roman"/>
          <w:b/>
          <w:sz w:val="24"/>
          <w:szCs w:val="20"/>
          <w:lang w:eastAsia="en-GB"/>
        </w:rPr>
        <w:lastRenderedPageBreak/>
        <w:t>Prioritetinės srutys paramai</w:t>
      </w:r>
    </w:p>
    <w:tbl>
      <w:tblPr>
        <w:tblW w:w="493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445"/>
      </w:tblGrid>
      <w:tr w:rsidR="003666D2" w:rsidRPr="003666D2" w:rsidTr="00C03D80">
        <w:trPr>
          <w:cantSplit/>
          <w:jc w:val="center"/>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jc w:val="center"/>
              <w:rPr>
                <w:rFonts w:ascii="Times New Roman" w:hAnsi="Times New Roman" w:cs="Times New Roman"/>
                <w:sz w:val="20"/>
                <w:szCs w:val="20"/>
              </w:rPr>
            </w:pPr>
          </w:p>
        </w:tc>
        <w:tc>
          <w:tcPr>
            <w:tcW w:w="1030" w:type="dxa"/>
            <w:tcBorders>
              <w:top w:val="single" w:sz="16" w:space="0" w:color="000000"/>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666D2">
              <w:rPr>
                <w:rFonts w:ascii="Times New Roman" w:hAnsi="Times New Roman" w:cs="Times New Roman"/>
                <w:color w:val="000000"/>
                <w:sz w:val="20"/>
                <w:szCs w:val="20"/>
              </w:rPr>
              <w:t>Vidurkis</w:t>
            </w:r>
          </w:p>
        </w:tc>
        <w:tc>
          <w:tcPr>
            <w:tcW w:w="1445" w:type="dxa"/>
            <w:tcBorders>
              <w:top w:val="single" w:sz="16" w:space="0" w:color="000000"/>
              <w:bottom w:val="single" w:sz="16" w:space="0" w:color="000000"/>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666D2">
              <w:rPr>
                <w:rFonts w:ascii="Times New Roman" w:hAnsi="Times New Roman" w:cs="Times New Roman"/>
                <w:color w:val="000000"/>
                <w:sz w:val="20"/>
                <w:szCs w:val="20"/>
              </w:rPr>
              <w:t>Stand. Nuokrypis</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Parama darbo vietų kūrimui</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4,4447</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1,05010</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Paslaugų socialiai pažeidžiamoms grupėms plėtra</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3,8307</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1,19629</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ES paramos prioritetai. Paslaugų (švietimo, kultūros, sporto) sričių plėtra</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3,8023</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1,26797</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Sveikatinimo priemonių aktyvinimo kryptis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3,7231</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1,34735</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Projektai, skirti vietos produkcijos perdirbimui ir realizavimui</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3,6690</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1,32186</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Naujovių skatinimas ir diegimas kaimo vietovėse</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3,6441</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1,41244</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Viešosios infrastruktūros plėtra</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3,5069</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1,34505</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Palankesnių sąlygų pradėti veiklą ūkininkavimo sektroiuje sudarymas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3,4839</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1,40024</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Atsinaujinančių energijos išteklių, šalutinių produktų, atliekų, liekanų ir kitų nemaistinių žaliavų tiekimo ir naudojimo palengvinimas bioekonomikos tikslais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3,3814</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1,46716</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Prieigos prie informacinių ir ryšių technologijų plėtra, jų naudojimosi skatinimas ir kokybės gerinimas kaimo vietovėse</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3,2390</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1,47568</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Bendruomeniškumą skatinančios iniciatyvos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3,2051</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1,45665</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Mokymosi visą gyvenimą ir profesinio mokymo žemės ūkio ir miškininkystės sektoriaus skatinimas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3,1396</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1,67994</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Didelės gamtinės vertės ūkininkavimas ir kraštovaizdžių būklė</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3,0576</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1,42362</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Biologinės įvairovės atkūrimas, išsaugojimas ir didinimas, be kita ko, "Natura 2000" teritorijose</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2,8843</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1,43878</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Savanorystę skatinančios veiklos</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2,8248</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1,46773</w:t>
            </w:r>
          </w:p>
        </w:tc>
      </w:tr>
      <w:tr w:rsidR="003666D2" w:rsidRPr="003666D2" w:rsidTr="00C03D80">
        <w:trPr>
          <w:cantSplit/>
          <w:jc w:val="center"/>
        </w:trPr>
        <w:tc>
          <w:tcPr>
            <w:tcW w:w="2459" w:type="dxa"/>
            <w:tcBorders>
              <w:top w:val="nil"/>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Turizmo infrastruktūros ir paslaugų plėtra</w:t>
            </w:r>
          </w:p>
        </w:tc>
        <w:tc>
          <w:tcPr>
            <w:tcW w:w="1030" w:type="dxa"/>
            <w:tcBorders>
              <w:top w:val="nil"/>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2,5955</w:t>
            </w:r>
          </w:p>
        </w:tc>
        <w:tc>
          <w:tcPr>
            <w:tcW w:w="1445" w:type="dxa"/>
            <w:tcBorders>
              <w:top w:val="nil"/>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1,42384</w:t>
            </w:r>
          </w:p>
        </w:tc>
      </w:tr>
      <w:tr w:rsidR="003666D2" w:rsidRPr="003666D2" w:rsidTr="00C03D80">
        <w:trPr>
          <w:cantSplit/>
          <w:jc w:val="center"/>
        </w:trPr>
        <w:tc>
          <w:tcPr>
            <w:tcW w:w="2459" w:type="dxa"/>
            <w:tcBorders>
              <w:top w:val="single" w:sz="16" w:space="0" w:color="000000"/>
              <w:left w:val="single" w:sz="16" w:space="0" w:color="000000"/>
              <w:bottom w:val="nil"/>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lastRenderedPageBreak/>
              <w:t>ES paramos nauda sau ir gyvenamajai vietovei</w:t>
            </w:r>
          </w:p>
        </w:tc>
        <w:tc>
          <w:tcPr>
            <w:tcW w:w="1030" w:type="dxa"/>
            <w:tcBorders>
              <w:top w:val="single" w:sz="16" w:space="0" w:color="000000"/>
              <w:bottom w:val="nil"/>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1,5023</w:t>
            </w:r>
          </w:p>
        </w:tc>
        <w:tc>
          <w:tcPr>
            <w:tcW w:w="1445" w:type="dxa"/>
            <w:tcBorders>
              <w:top w:val="single" w:sz="16" w:space="0" w:color="000000"/>
              <w:bottom w:val="nil"/>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666D2">
              <w:rPr>
                <w:rFonts w:ascii="Times New Roman" w:hAnsi="Times New Roman" w:cs="Times New Roman"/>
                <w:color w:val="000000"/>
                <w:sz w:val="20"/>
                <w:szCs w:val="20"/>
              </w:rPr>
              <w:t>,50057</w:t>
            </w:r>
          </w:p>
        </w:tc>
      </w:tr>
      <w:tr w:rsidR="003666D2" w:rsidRPr="003666D2" w:rsidTr="00C03D80">
        <w:trPr>
          <w:cantSplit/>
          <w:jc w:val="center"/>
        </w:trPr>
        <w:tc>
          <w:tcPr>
            <w:tcW w:w="2459" w:type="dxa"/>
            <w:tcBorders>
              <w:top w:val="nil"/>
              <w:left w:val="single" w:sz="16" w:space="0" w:color="000000"/>
              <w:bottom w:val="single" w:sz="16" w:space="0" w:color="000000"/>
              <w:right w:val="single" w:sz="16" w:space="0" w:color="000000"/>
            </w:tcBorders>
            <w:shd w:val="clear" w:color="auto" w:fill="FFFFFF"/>
          </w:tcPr>
          <w:p w:rsidR="003666D2" w:rsidRPr="003666D2" w:rsidRDefault="003666D2" w:rsidP="003666D2">
            <w:pPr>
              <w:autoSpaceDE w:val="0"/>
              <w:autoSpaceDN w:val="0"/>
              <w:adjustRightInd w:val="0"/>
              <w:spacing w:after="0"/>
              <w:ind w:left="60" w:right="60"/>
              <w:rPr>
                <w:rFonts w:ascii="Times New Roman" w:hAnsi="Times New Roman" w:cs="Times New Roman"/>
                <w:color w:val="000000"/>
                <w:sz w:val="20"/>
                <w:szCs w:val="20"/>
              </w:rPr>
            </w:pPr>
            <w:r w:rsidRPr="003666D2">
              <w:rPr>
                <w:rFonts w:ascii="Times New Roman" w:hAnsi="Times New Roman" w:cs="Times New Roman"/>
                <w:color w:val="000000"/>
                <w:sz w:val="20"/>
                <w:szCs w:val="20"/>
              </w:rPr>
              <w:t>Valid N (listwise)</w:t>
            </w:r>
          </w:p>
        </w:tc>
        <w:tc>
          <w:tcPr>
            <w:tcW w:w="1030" w:type="dxa"/>
            <w:tcBorders>
              <w:top w:val="nil"/>
              <w:bottom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c>
          <w:tcPr>
            <w:tcW w:w="1445" w:type="dxa"/>
            <w:tcBorders>
              <w:top w:val="nil"/>
              <w:bottom w:val="single" w:sz="16" w:space="0" w:color="000000"/>
              <w:right w:val="single" w:sz="16" w:space="0" w:color="000000"/>
            </w:tcBorders>
            <w:shd w:val="clear" w:color="auto" w:fill="FFFFFF"/>
            <w:vAlign w:val="center"/>
          </w:tcPr>
          <w:p w:rsidR="003666D2" w:rsidRPr="003666D2" w:rsidRDefault="003666D2" w:rsidP="003666D2">
            <w:pPr>
              <w:autoSpaceDE w:val="0"/>
              <w:autoSpaceDN w:val="0"/>
              <w:adjustRightInd w:val="0"/>
              <w:spacing w:after="0" w:line="240" w:lineRule="auto"/>
              <w:rPr>
                <w:rFonts w:ascii="Times New Roman" w:hAnsi="Times New Roman" w:cs="Times New Roman"/>
                <w:sz w:val="20"/>
                <w:szCs w:val="20"/>
              </w:rPr>
            </w:pPr>
          </w:p>
        </w:tc>
      </w:tr>
    </w:tbl>
    <w:p w:rsidR="00897888" w:rsidRDefault="00897888">
      <w:bookmarkStart w:id="8" w:name="_GoBack"/>
      <w:bookmarkEnd w:id="8"/>
    </w:p>
    <w:sectPr w:rsidR="008978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1F"/>
    <w:multiLevelType w:val="multilevel"/>
    <w:tmpl w:val="B88C4F56"/>
    <w:lvl w:ilvl="0">
      <w:start w:val="1"/>
      <w:numFmt w:val="decimal"/>
      <w:lvlText w:val="%1."/>
      <w:lvlJc w:val="left"/>
      <w:pPr>
        <w:ind w:left="1069" w:hanging="360"/>
      </w:pPr>
      <w:rPr>
        <w:rFonts w:hint="default"/>
      </w:rPr>
    </w:lvl>
    <w:lvl w:ilvl="1">
      <w:start w:val="2"/>
      <w:numFmt w:val="decimal"/>
      <w:lvlText w:val="%1.%2."/>
      <w:lvlJc w:val="left"/>
      <w:pPr>
        <w:ind w:left="3229" w:hanging="360"/>
      </w:pPr>
      <w:rPr>
        <w:rFonts w:hint="default"/>
      </w:rPr>
    </w:lvl>
    <w:lvl w:ilvl="2">
      <w:start w:val="1"/>
      <w:numFmt w:val="decimal"/>
      <w:lvlText w:val="%1.%2.%3."/>
      <w:lvlJc w:val="left"/>
      <w:pPr>
        <w:ind w:left="5749" w:hanging="720"/>
      </w:pPr>
      <w:rPr>
        <w:rFonts w:hint="default"/>
      </w:rPr>
    </w:lvl>
    <w:lvl w:ilvl="3">
      <w:start w:val="1"/>
      <w:numFmt w:val="decimal"/>
      <w:lvlText w:val="%1.%2.%3.%4."/>
      <w:lvlJc w:val="left"/>
      <w:pPr>
        <w:ind w:left="7909" w:hanging="720"/>
      </w:pPr>
      <w:rPr>
        <w:rFonts w:hint="default"/>
      </w:rPr>
    </w:lvl>
    <w:lvl w:ilvl="4">
      <w:start w:val="1"/>
      <w:numFmt w:val="decimal"/>
      <w:lvlText w:val="%1.%2.%3.%4.%5."/>
      <w:lvlJc w:val="left"/>
      <w:pPr>
        <w:ind w:left="10429" w:hanging="1080"/>
      </w:pPr>
      <w:rPr>
        <w:rFonts w:hint="default"/>
      </w:rPr>
    </w:lvl>
    <w:lvl w:ilvl="5">
      <w:start w:val="1"/>
      <w:numFmt w:val="decimal"/>
      <w:lvlText w:val="%1.%2.%3.%4.%5.%6."/>
      <w:lvlJc w:val="left"/>
      <w:pPr>
        <w:ind w:left="12589" w:hanging="1080"/>
      </w:pPr>
      <w:rPr>
        <w:rFonts w:hint="default"/>
      </w:rPr>
    </w:lvl>
    <w:lvl w:ilvl="6">
      <w:start w:val="1"/>
      <w:numFmt w:val="decimal"/>
      <w:lvlText w:val="%1.%2.%3.%4.%5.%6.%7."/>
      <w:lvlJc w:val="left"/>
      <w:pPr>
        <w:ind w:left="15109" w:hanging="1440"/>
      </w:pPr>
      <w:rPr>
        <w:rFonts w:hint="default"/>
      </w:rPr>
    </w:lvl>
    <w:lvl w:ilvl="7">
      <w:start w:val="1"/>
      <w:numFmt w:val="decimal"/>
      <w:lvlText w:val="%1.%2.%3.%4.%5.%6.%7.%8."/>
      <w:lvlJc w:val="left"/>
      <w:pPr>
        <w:ind w:left="17269" w:hanging="1440"/>
      </w:pPr>
      <w:rPr>
        <w:rFonts w:hint="default"/>
      </w:rPr>
    </w:lvl>
    <w:lvl w:ilvl="8">
      <w:start w:val="1"/>
      <w:numFmt w:val="decimal"/>
      <w:lvlText w:val="%1.%2.%3.%4.%5.%6.%7.%8.%9."/>
      <w:lvlJc w:val="left"/>
      <w:pPr>
        <w:ind w:left="19789" w:hanging="1800"/>
      </w:pPr>
      <w:rPr>
        <w:rFonts w:hint="default"/>
      </w:rPr>
    </w:lvl>
  </w:abstractNum>
  <w:abstractNum w:abstractNumId="1">
    <w:nsid w:val="06F93B9B"/>
    <w:multiLevelType w:val="hybridMultilevel"/>
    <w:tmpl w:val="E40C589A"/>
    <w:lvl w:ilvl="0" w:tplc="26DC21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FD05724"/>
    <w:multiLevelType w:val="hybridMultilevel"/>
    <w:tmpl w:val="2FBC86AA"/>
    <w:lvl w:ilvl="0" w:tplc="992E029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71ABE"/>
    <w:multiLevelType w:val="multilevel"/>
    <w:tmpl w:val="162AA32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14F2A7B"/>
    <w:multiLevelType w:val="hybridMultilevel"/>
    <w:tmpl w:val="D1006E78"/>
    <w:lvl w:ilvl="0" w:tplc="5AF60184">
      <w:start w:val="7"/>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46B1176"/>
    <w:multiLevelType w:val="multilevel"/>
    <w:tmpl w:val="09044F68"/>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6475EF4"/>
    <w:multiLevelType w:val="hybridMultilevel"/>
    <w:tmpl w:val="17F45572"/>
    <w:lvl w:ilvl="0" w:tplc="04270001">
      <w:start w:val="1"/>
      <w:numFmt w:val="bullet"/>
      <w:lvlText w:val=""/>
      <w:lvlJc w:val="left"/>
      <w:pPr>
        <w:ind w:left="4680" w:hanging="360"/>
      </w:pPr>
      <w:rPr>
        <w:rFonts w:ascii="Symbol" w:hAnsi="Symbol" w:hint="default"/>
      </w:rPr>
    </w:lvl>
    <w:lvl w:ilvl="1" w:tplc="04270003" w:tentative="1">
      <w:start w:val="1"/>
      <w:numFmt w:val="bullet"/>
      <w:lvlText w:val="o"/>
      <w:lvlJc w:val="left"/>
      <w:pPr>
        <w:ind w:left="5400" w:hanging="360"/>
      </w:pPr>
      <w:rPr>
        <w:rFonts w:ascii="Courier New" w:hAnsi="Courier New" w:cs="Courier New" w:hint="default"/>
      </w:rPr>
    </w:lvl>
    <w:lvl w:ilvl="2" w:tplc="04270005" w:tentative="1">
      <w:start w:val="1"/>
      <w:numFmt w:val="bullet"/>
      <w:lvlText w:val=""/>
      <w:lvlJc w:val="left"/>
      <w:pPr>
        <w:ind w:left="6120" w:hanging="360"/>
      </w:pPr>
      <w:rPr>
        <w:rFonts w:ascii="Wingdings" w:hAnsi="Wingdings" w:hint="default"/>
      </w:rPr>
    </w:lvl>
    <w:lvl w:ilvl="3" w:tplc="04270001" w:tentative="1">
      <w:start w:val="1"/>
      <w:numFmt w:val="bullet"/>
      <w:lvlText w:val=""/>
      <w:lvlJc w:val="left"/>
      <w:pPr>
        <w:ind w:left="6840" w:hanging="360"/>
      </w:pPr>
      <w:rPr>
        <w:rFonts w:ascii="Symbol" w:hAnsi="Symbol" w:hint="default"/>
      </w:rPr>
    </w:lvl>
    <w:lvl w:ilvl="4" w:tplc="04270003" w:tentative="1">
      <w:start w:val="1"/>
      <w:numFmt w:val="bullet"/>
      <w:lvlText w:val="o"/>
      <w:lvlJc w:val="left"/>
      <w:pPr>
        <w:ind w:left="7560" w:hanging="360"/>
      </w:pPr>
      <w:rPr>
        <w:rFonts w:ascii="Courier New" w:hAnsi="Courier New" w:cs="Courier New" w:hint="default"/>
      </w:rPr>
    </w:lvl>
    <w:lvl w:ilvl="5" w:tplc="04270005" w:tentative="1">
      <w:start w:val="1"/>
      <w:numFmt w:val="bullet"/>
      <w:lvlText w:val=""/>
      <w:lvlJc w:val="left"/>
      <w:pPr>
        <w:ind w:left="8280" w:hanging="360"/>
      </w:pPr>
      <w:rPr>
        <w:rFonts w:ascii="Wingdings" w:hAnsi="Wingdings" w:hint="default"/>
      </w:rPr>
    </w:lvl>
    <w:lvl w:ilvl="6" w:tplc="04270001" w:tentative="1">
      <w:start w:val="1"/>
      <w:numFmt w:val="bullet"/>
      <w:lvlText w:val=""/>
      <w:lvlJc w:val="left"/>
      <w:pPr>
        <w:ind w:left="9000" w:hanging="360"/>
      </w:pPr>
      <w:rPr>
        <w:rFonts w:ascii="Symbol" w:hAnsi="Symbol" w:hint="default"/>
      </w:rPr>
    </w:lvl>
    <w:lvl w:ilvl="7" w:tplc="04270003" w:tentative="1">
      <w:start w:val="1"/>
      <w:numFmt w:val="bullet"/>
      <w:lvlText w:val="o"/>
      <w:lvlJc w:val="left"/>
      <w:pPr>
        <w:ind w:left="9720" w:hanging="360"/>
      </w:pPr>
      <w:rPr>
        <w:rFonts w:ascii="Courier New" w:hAnsi="Courier New" w:cs="Courier New" w:hint="default"/>
      </w:rPr>
    </w:lvl>
    <w:lvl w:ilvl="8" w:tplc="04270005" w:tentative="1">
      <w:start w:val="1"/>
      <w:numFmt w:val="bullet"/>
      <w:lvlText w:val=""/>
      <w:lvlJc w:val="left"/>
      <w:pPr>
        <w:ind w:left="10440" w:hanging="360"/>
      </w:pPr>
      <w:rPr>
        <w:rFonts w:ascii="Wingdings" w:hAnsi="Wingdings" w:hint="default"/>
      </w:rPr>
    </w:lvl>
  </w:abstractNum>
  <w:abstractNum w:abstractNumId="7">
    <w:nsid w:val="1C2E35DE"/>
    <w:multiLevelType w:val="multilevel"/>
    <w:tmpl w:val="B88C4F56"/>
    <w:lvl w:ilvl="0">
      <w:start w:val="1"/>
      <w:numFmt w:val="decimal"/>
      <w:lvlText w:val="%1."/>
      <w:lvlJc w:val="left"/>
      <w:pPr>
        <w:ind w:left="1069" w:hanging="360"/>
      </w:pPr>
      <w:rPr>
        <w:rFonts w:hint="default"/>
      </w:rPr>
    </w:lvl>
    <w:lvl w:ilvl="1">
      <w:start w:val="2"/>
      <w:numFmt w:val="decimal"/>
      <w:lvlText w:val="%1.%2."/>
      <w:lvlJc w:val="left"/>
      <w:pPr>
        <w:ind w:left="3229" w:hanging="360"/>
      </w:pPr>
      <w:rPr>
        <w:rFonts w:hint="default"/>
      </w:rPr>
    </w:lvl>
    <w:lvl w:ilvl="2">
      <w:start w:val="1"/>
      <w:numFmt w:val="decimal"/>
      <w:lvlText w:val="%1.%2.%3."/>
      <w:lvlJc w:val="left"/>
      <w:pPr>
        <w:ind w:left="5749" w:hanging="720"/>
      </w:pPr>
      <w:rPr>
        <w:rFonts w:hint="default"/>
      </w:rPr>
    </w:lvl>
    <w:lvl w:ilvl="3">
      <w:start w:val="1"/>
      <w:numFmt w:val="decimal"/>
      <w:lvlText w:val="%1.%2.%3.%4."/>
      <w:lvlJc w:val="left"/>
      <w:pPr>
        <w:ind w:left="7909" w:hanging="720"/>
      </w:pPr>
      <w:rPr>
        <w:rFonts w:hint="default"/>
      </w:rPr>
    </w:lvl>
    <w:lvl w:ilvl="4">
      <w:start w:val="1"/>
      <w:numFmt w:val="decimal"/>
      <w:lvlText w:val="%1.%2.%3.%4.%5."/>
      <w:lvlJc w:val="left"/>
      <w:pPr>
        <w:ind w:left="10429" w:hanging="1080"/>
      </w:pPr>
      <w:rPr>
        <w:rFonts w:hint="default"/>
      </w:rPr>
    </w:lvl>
    <w:lvl w:ilvl="5">
      <w:start w:val="1"/>
      <w:numFmt w:val="decimal"/>
      <w:lvlText w:val="%1.%2.%3.%4.%5.%6."/>
      <w:lvlJc w:val="left"/>
      <w:pPr>
        <w:ind w:left="12589" w:hanging="1080"/>
      </w:pPr>
      <w:rPr>
        <w:rFonts w:hint="default"/>
      </w:rPr>
    </w:lvl>
    <w:lvl w:ilvl="6">
      <w:start w:val="1"/>
      <w:numFmt w:val="decimal"/>
      <w:lvlText w:val="%1.%2.%3.%4.%5.%6.%7."/>
      <w:lvlJc w:val="left"/>
      <w:pPr>
        <w:ind w:left="15109" w:hanging="1440"/>
      </w:pPr>
      <w:rPr>
        <w:rFonts w:hint="default"/>
      </w:rPr>
    </w:lvl>
    <w:lvl w:ilvl="7">
      <w:start w:val="1"/>
      <w:numFmt w:val="decimal"/>
      <w:lvlText w:val="%1.%2.%3.%4.%5.%6.%7.%8."/>
      <w:lvlJc w:val="left"/>
      <w:pPr>
        <w:ind w:left="17269" w:hanging="1440"/>
      </w:pPr>
      <w:rPr>
        <w:rFonts w:hint="default"/>
      </w:rPr>
    </w:lvl>
    <w:lvl w:ilvl="8">
      <w:start w:val="1"/>
      <w:numFmt w:val="decimal"/>
      <w:lvlText w:val="%1.%2.%3.%4.%5.%6.%7.%8.%9."/>
      <w:lvlJc w:val="left"/>
      <w:pPr>
        <w:ind w:left="19789" w:hanging="1800"/>
      </w:pPr>
      <w:rPr>
        <w:rFonts w:hint="default"/>
      </w:rPr>
    </w:lvl>
  </w:abstractNum>
  <w:abstractNum w:abstractNumId="8">
    <w:nsid w:val="251842F7"/>
    <w:multiLevelType w:val="multilevel"/>
    <w:tmpl w:val="C4569EC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547979"/>
    <w:multiLevelType w:val="hybridMultilevel"/>
    <w:tmpl w:val="DC7290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A31437F"/>
    <w:multiLevelType w:val="multilevel"/>
    <w:tmpl w:val="B88C4F56"/>
    <w:lvl w:ilvl="0">
      <w:start w:val="1"/>
      <w:numFmt w:val="decimal"/>
      <w:lvlText w:val="%1."/>
      <w:lvlJc w:val="left"/>
      <w:pPr>
        <w:ind w:left="1069" w:hanging="360"/>
      </w:pPr>
      <w:rPr>
        <w:rFonts w:hint="default"/>
      </w:rPr>
    </w:lvl>
    <w:lvl w:ilvl="1">
      <w:start w:val="2"/>
      <w:numFmt w:val="decimal"/>
      <w:lvlText w:val="%1.%2."/>
      <w:lvlJc w:val="left"/>
      <w:pPr>
        <w:ind w:left="3229" w:hanging="360"/>
      </w:pPr>
      <w:rPr>
        <w:rFonts w:hint="default"/>
      </w:rPr>
    </w:lvl>
    <w:lvl w:ilvl="2">
      <w:start w:val="1"/>
      <w:numFmt w:val="decimal"/>
      <w:lvlText w:val="%1.%2.%3."/>
      <w:lvlJc w:val="left"/>
      <w:pPr>
        <w:ind w:left="5749" w:hanging="720"/>
      </w:pPr>
      <w:rPr>
        <w:rFonts w:hint="default"/>
      </w:rPr>
    </w:lvl>
    <w:lvl w:ilvl="3">
      <w:start w:val="1"/>
      <w:numFmt w:val="decimal"/>
      <w:lvlText w:val="%1.%2.%3.%4."/>
      <w:lvlJc w:val="left"/>
      <w:pPr>
        <w:ind w:left="7909" w:hanging="720"/>
      </w:pPr>
      <w:rPr>
        <w:rFonts w:hint="default"/>
      </w:rPr>
    </w:lvl>
    <w:lvl w:ilvl="4">
      <w:start w:val="1"/>
      <w:numFmt w:val="decimal"/>
      <w:lvlText w:val="%1.%2.%3.%4.%5."/>
      <w:lvlJc w:val="left"/>
      <w:pPr>
        <w:ind w:left="10429" w:hanging="1080"/>
      </w:pPr>
      <w:rPr>
        <w:rFonts w:hint="default"/>
      </w:rPr>
    </w:lvl>
    <w:lvl w:ilvl="5">
      <w:start w:val="1"/>
      <w:numFmt w:val="decimal"/>
      <w:lvlText w:val="%1.%2.%3.%4.%5.%6."/>
      <w:lvlJc w:val="left"/>
      <w:pPr>
        <w:ind w:left="12589" w:hanging="1080"/>
      </w:pPr>
      <w:rPr>
        <w:rFonts w:hint="default"/>
      </w:rPr>
    </w:lvl>
    <w:lvl w:ilvl="6">
      <w:start w:val="1"/>
      <w:numFmt w:val="decimal"/>
      <w:lvlText w:val="%1.%2.%3.%4.%5.%6.%7."/>
      <w:lvlJc w:val="left"/>
      <w:pPr>
        <w:ind w:left="15109" w:hanging="1440"/>
      </w:pPr>
      <w:rPr>
        <w:rFonts w:hint="default"/>
      </w:rPr>
    </w:lvl>
    <w:lvl w:ilvl="7">
      <w:start w:val="1"/>
      <w:numFmt w:val="decimal"/>
      <w:lvlText w:val="%1.%2.%3.%4.%5.%6.%7.%8."/>
      <w:lvlJc w:val="left"/>
      <w:pPr>
        <w:ind w:left="17269" w:hanging="1440"/>
      </w:pPr>
      <w:rPr>
        <w:rFonts w:hint="default"/>
      </w:rPr>
    </w:lvl>
    <w:lvl w:ilvl="8">
      <w:start w:val="1"/>
      <w:numFmt w:val="decimal"/>
      <w:lvlText w:val="%1.%2.%3.%4.%5.%6.%7.%8.%9."/>
      <w:lvlJc w:val="left"/>
      <w:pPr>
        <w:ind w:left="19789" w:hanging="1800"/>
      </w:pPr>
      <w:rPr>
        <w:rFonts w:hint="default"/>
      </w:rPr>
    </w:lvl>
  </w:abstractNum>
  <w:abstractNum w:abstractNumId="11">
    <w:nsid w:val="2C836B9A"/>
    <w:multiLevelType w:val="multilevel"/>
    <w:tmpl w:val="C48A5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2E23FE6"/>
    <w:multiLevelType w:val="hybridMultilevel"/>
    <w:tmpl w:val="3BA465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5D203D0"/>
    <w:multiLevelType w:val="hybridMultilevel"/>
    <w:tmpl w:val="25743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C40120F"/>
    <w:multiLevelType w:val="multilevel"/>
    <w:tmpl w:val="FE9E9F6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2B27BD0"/>
    <w:multiLevelType w:val="hybridMultilevel"/>
    <w:tmpl w:val="7B8AF0F6"/>
    <w:lvl w:ilvl="0" w:tplc="5CB039C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4E2526B"/>
    <w:multiLevelType w:val="multilevel"/>
    <w:tmpl w:val="F30E2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F50DE1"/>
    <w:multiLevelType w:val="hybridMultilevel"/>
    <w:tmpl w:val="5E0A40B2"/>
    <w:lvl w:ilvl="0" w:tplc="C0980CC2">
      <w:start w:val="1"/>
      <w:numFmt w:val="decimal"/>
      <w:lvlText w:val="%1."/>
      <w:lvlJc w:val="left"/>
      <w:pPr>
        <w:ind w:left="108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61733CF"/>
    <w:multiLevelType w:val="hybridMultilevel"/>
    <w:tmpl w:val="A9CEE6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C2F636B"/>
    <w:multiLevelType w:val="hybridMultilevel"/>
    <w:tmpl w:val="B8369C6A"/>
    <w:lvl w:ilvl="0" w:tplc="FA86836A">
      <w:start w:val="1"/>
      <w:numFmt w:val="decimal"/>
      <w:lvlText w:val="%1."/>
      <w:lvlJc w:val="left"/>
      <w:pPr>
        <w:ind w:left="1658" w:hanging="360"/>
      </w:pPr>
      <w:rPr>
        <w:b w:val="0"/>
      </w:rPr>
    </w:lvl>
    <w:lvl w:ilvl="1" w:tplc="0226DFC8">
      <w:start w:val="1"/>
      <w:numFmt w:val="lowerLetter"/>
      <w:lvlText w:val="%2)"/>
      <w:lvlJc w:val="left"/>
      <w:pPr>
        <w:ind w:left="2378" w:hanging="360"/>
      </w:pPr>
      <w:rPr>
        <w:rFonts w:hint="default"/>
      </w:r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0">
    <w:nsid w:val="4D05043B"/>
    <w:multiLevelType w:val="hybridMultilevel"/>
    <w:tmpl w:val="363E3868"/>
    <w:lvl w:ilvl="0" w:tplc="B6C64C36">
      <w:start w:val="1"/>
      <w:numFmt w:val="bullet"/>
      <w:lvlText w:val="–"/>
      <w:lvlJc w:val="left"/>
      <w:pPr>
        <w:ind w:left="303" w:hanging="360"/>
      </w:pPr>
      <w:rPr>
        <w:rFonts w:ascii="Times New Roman" w:eastAsiaTheme="minorHAnsi" w:hAnsi="Times New Roman" w:cs="Times New Roman" w:hint="default"/>
      </w:rPr>
    </w:lvl>
    <w:lvl w:ilvl="1" w:tplc="04270003" w:tentative="1">
      <w:start w:val="1"/>
      <w:numFmt w:val="bullet"/>
      <w:lvlText w:val="o"/>
      <w:lvlJc w:val="left"/>
      <w:pPr>
        <w:ind w:left="1023" w:hanging="360"/>
      </w:pPr>
      <w:rPr>
        <w:rFonts w:ascii="Courier New" w:hAnsi="Courier New" w:cs="Courier New" w:hint="default"/>
      </w:rPr>
    </w:lvl>
    <w:lvl w:ilvl="2" w:tplc="04270005" w:tentative="1">
      <w:start w:val="1"/>
      <w:numFmt w:val="bullet"/>
      <w:lvlText w:val=""/>
      <w:lvlJc w:val="left"/>
      <w:pPr>
        <w:ind w:left="1743" w:hanging="360"/>
      </w:pPr>
      <w:rPr>
        <w:rFonts w:ascii="Wingdings" w:hAnsi="Wingdings" w:hint="default"/>
      </w:rPr>
    </w:lvl>
    <w:lvl w:ilvl="3" w:tplc="04270001" w:tentative="1">
      <w:start w:val="1"/>
      <w:numFmt w:val="bullet"/>
      <w:lvlText w:val=""/>
      <w:lvlJc w:val="left"/>
      <w:pPr>
        <w:ind w:left="2463" w:hanging="360"/>
      </w:pPr>
      <w:rPr>
        <w:rFonts w:ascii="Symbol" w:hAnsi="Symbol" w:hint="default"/>
      </w:rPr>
    </w:lvl>
    <w:lvl w:ilvl="4" w:tplc="04270003" w:tentative="1">
      <w:start w:val="1"/>
      <w:numFmt w:val="bullet"/>
      <w:lvlText w:val="o"/>
      <w:lvlJc w:val="left"/>
      <w:pPr>
        <w:ind w:left="3183" w:hanging="360"/>
      </w:pPr>
      <w:rPr>
        <w:rFonts w:ascii="Courier New" w:hAnsi="Courier New" w:cs="Courier New" w:hint="default"/>
      </w:rPr>
    </w:lvl>
    <w:lvl w:ilvl="5" w:tplc="04270005" w:tentative="1">
      <w:start w:val="1"/>
      <w:numFmt w:val="bullet"/>
      <w:lvlText w:val=""/>
      <w:lvlJc w:val="left"/>
      <w:pPr>
        <w:ind w:left="3903" w:hanging="360"/>
      </w:pPr>
      <w:rPr>
        <w:rFonts w:ascii="Wingdings" w:hAnsi="Wingdings" w:hint="default"/>
      </w:rPr>
    </w:lvl>
    <w:lvl w:ilvl="6" w:tplc="04270001" w:tentative="1">
      <w:start w:val="1"/>
      <w:numFmt w:val="bullet"/>
      <w:lvlText w:val=""/>
      <w:lvlJc w:val="left"/>
      <w:pPr>
        <w:ind w:left="4623" w:hanging="360"/>
      </w:pPr>
      <w:rPr>
        <w:rFonts w:ascii="Symbol" w:hAnsi="Symbol" w:hint="default"/>
      </w:rPr>
    </w:lvl>
    <w:lvl w:ilvl="7" w:tplc="04270003" w:tentative="1">
      <w:start w:val="1"/>
      <w:numFmt w:val="bullet"/>
      <w:lvlText w:val="o"/>
      <w:lvlJc w:val="left"/>
      <w:pPr>
        <w:ind w:left="5343" w:hanging="360"/>
      </w:pPr>
      <w:rPr>
        <w:rFonts w:ascii="Courier New" w:hAnsi="Courier New" w:cs="Courier New" w:hint="default"/>
      </w:rPr>
    </w:lvl>
    <w:lvl w:ilvl="8" w:tplc="04270005" w:tentative="1">
      <w:start w:val="1"/>
      <w:numFmt w:val="bullet"/>
      <w:lvlText w:val=""/>
      <w:lvlJc w:val="left"/>
      <w:pPr>
        <w:ind w:left="6063" w:hanging="360"/>
      </w:pPr>
      <w:rPr>
        <w:rFonts w:ascii="Wingdings" w:hAnsi="Wingdings" w:hint="default"/>
      </w:rPr>
    </w:lvl>
  </w:abstractNum>
  <w:abstractNum w:abstractNumId="21">
    <w:nsid w:val="4F5E18D5"/>
    <w:multiLevelType w:val="hybridMultilevel"/>
    <w:tmpl w:val="C4EC3C36"/>
    <w:lvl w:ilvl="0" w:tplc="73C6057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245C0B"/>
    <w:multiLevelType w:val="hybridMultilevel"/>
    <w:tmpl w:val="867A5E06"/>
    <w:lvl w:ilvl="0" w:tplc="0E8A2F4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B36319"/>
    <w:multiLevelType w:val="multilevel"/>
    <w:tmpl w:val="17EAD924"/>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4">
    <w:nsid w:val="6866523F"/>
    <w:multiLevelType w:val="multilevel"/>
    <w:tmpl w:val="B88C4F56"/>
    <w:lvl w:ilvl="0">
      <w:start w:val="1"/>
      <w:numFmt w:val="decimal"/>
      <w:lvlText w:val="%1."/>
      <w:lvlJc w:val="left"/>
      <w:pPr>
        <w:ind w:left="1069" w:hanging="360"/>
      </w:pPr>
      <w:rPr>
        <w:rFonts w:hint="default"/>
      </w:rPr>
    </w:lvl>
    <w:lvl w:ilvl="1">
      <w:start w:val="2"/>
      <w:numFmt w:val="decimal"/>
      <w:lvlText w:val="%1.%2."/>
      <w:lvlJc w:val="left"/>
      <w:pPr>
        <w:ind w:left="3229" w:hanging="360"/>
      </w:pPr>
      <w:rPr>
        <w:rFonts w:hint="default"/>
      </w:rPr>
    </w:lvl>
    <w:lvl w:ilvl="2">
      <w:start w:val="1"/>
      <w:numFmt w:val="decimal"/>
      <w:lvlText w:val="%1.%2.%3."/>
      <w:lvlJc w:val="left"/>
      <w:pPr>
        <w:ind w:left="5749" w:hanging="720"/>
      </w:pPr>
      <w:rPr>
        <w:rFonts w:hint="default"/>
      </w:rPr>
    </w:lvl>
    <w:lvl w:ilvl="3">
      <w:start w:val="1"/>
      <w:numFmt w:val="decimal"/>
      <w:lvlText w:val="%1.%2.%3.%4."/>
      <w:lvlJc w:val="left"/>
      <w:pPr>
        <w:ind w:left="7909" w:hanging="720"/>
      </w:pPr>
      <w:rPr>
        <w:rFonts w:hint="default"/>
      </w:rPr>
    </w:lvl>
    <w:lvl w:ilvl="4">
      <w:start w:val="1"/>
      <w:numFmt w:val="decimal"/>
      <w:lvlText w:val="%1.%2.%3.%4.%5."/>
      <w:lvlJc w:val="left"/>
      <w:pPr>
        <w:ind w:left="10429" w:hanging="1080"/>
      </w:pPr>
      <w:rPr>
        <w:rFonts w:hint="default"/>
      </w:rPr>
    </w:lvl>
    <w:lvl w:ilvl="5">
      <w:start w:val="1"/>
      <w:numFmt w:val="decimal"/>
      <w:lvlText w:val="%1.%2.%3.%4.%5.%6."/>
      <w:lvlJc w:val="left"/>
      <w:pPr>
        <w:ind w:left="12589" w:hanging="1080"/>
      </w:pPr>
      <w:rPr>
        <w:rFonts w:hint="default"/>
      </w:rPr>
    </w:lvl>
    <w:lvl w:ilvl="6">
      <w:start w:val="1"/>
      <w:numFmt w:val="decimal"/>
      <w:lvlText w:val="%1.%2.%3.%4.%5.%6.%7."/>
      <w:lvlJc w:val="left"/>
      <w:pPr>
        <w:ind w:left="15109" w:hanging="1440"/>
      </w:pPr>
      <w:rPr>
        <w:rFonts w:hint="default"/>
      </w:rPr>
    </w:lvl>
    <w:lvl w:ilvl="7">
      <w:start w:val="1"/>
      <w:numFmt w:val="decimal"/>
      <w:lvlText w:val="%1.%2.%3.%4.%5.%6.%7.%8."/>
      <w:lvlJc w:val="left"/>
      <w:pPr>
        <w:ind w:left="17269" w:hanging="1440"/>
      </w:pPr>
      <w:rPr>
        <w:rFonts w:hint="default"/>
      </w:rPr>
    </w:lvl>
    <w:lvl w:ilvl="8">
      <w:start w:val="1"/>
      <w:numFmt w:val="decimal"/>
      <w:lvlText w:val="%1.%2.%3.%4.%5.%6.%7.%8.%9."/>
      <w:lvlJc w:val="left"/>
      <w:pPr>
        <w:ind w:left="19789" w:hanging="1800"/>
      </w:pPr>
      <w:rPr>
        <w:rFonts w:hint="default"/>
      </w:rPr>
    </w:lvl>
  </w:abstractNum>
  <w:abstractNum w:abstractNumId="25">
    <w:nsid w:val="70E851BE"/>
    <w:multiLevelType w:val="hybridMultilevel"/>
    <w:tmpl w:val="B5D40A76"/>
    <w:lvl w:ilvl="0" w:tplc="C0980CC2">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7FDB52B3"/>
    <w:multiLevelType w:val="multilevel"/>
    <w:tmpl w:val="1D86EA1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21"/>
  </w:num>
  <w:num w:numId="3">
    <w:abstractNumId w:val="22"/>
  </w:num>
  <w:num w:numId="4">
    <w:abstractNumId w:val="4"/>
  </w:num>
  <w:num w:numId="5">
    <w:abstractNumId w:val="13"/>
  </w:num>
  <w:num w:numId="6">
    <w:abstractNumId w:val="3"/>
  </w:num>
  <w:num w:numId="7">
    <w:abstractNumId w:val="16"/>
  </w:num>
  <w:num w:numId="8">
    <w:abstractNumId w:val="23"/>
  </w:num>
  <w:num w:numId="9">
    <w:abstractNumId w:val="8"/>
  </w:num>
  <w:num w:numId="10">
    <w:abstractNumId w:val="14"/>
  </w:num>
  <w:num w:numId="11">
    <w:abstractNumId w:val="26"/>
  </w:num>
  <w:num w:numId="12">
    <w:abstractNumId w:val="6"/>
  </w:num>
  <w:num w:numId="13">
    <w:abstractNumId w:val="18"/>
  </w:num>
  <w:num w:numId="14">
    <w:abstractNumId w:val="12"/>
  </w:num>
  <w:num w:numId="15">
    <w:abstractNumId w:val="9"/>
  </w:num>
  <w:num w:numId="16">
    <w:abstractNumId w:val="19"/>
  </w:num>
  <w:num w:numId="17">
    <w:abstractNumId w:val="0"/>
  </w:num>
  <w:num w:numId="18">
    <w:abstractNumId w:val="7"/>
  </w:num>
  <w:num w:numId="19">
    <w:abstractNumId w:val="24"/>
  </w:num>
  <w:num w:numId="20">
    <w:abstractNumId w:val="15"/>
  </w:num>
  <w:num w:numId="21">
    <w:abstractNumId w:val="25"/>
  </w:num>
  <w:num w:numId="22">
    <w:abstractNumId w:val="17"/>
  </w:num>
  <w:num w:numId="23">
    <w:abstractNumId w:val="2"/>
  </w:num>
  <w:num w:numId="24">
    <w:abstractNumId w:val="20"/>
  </w:num>
  <w:num w:numId="25">
    <w:abstractNumId w:val="10"/>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D2"/>
    <w:rsid w:val="003666D2"/>
    <w:rsid w:val="00897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6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lt-LT"/>
    </w:rPr>
  </w:style>
  <w:style w:type="paragraph" w:styleId="Heading2">
    <w:name w:val="heading 2"/>
    <w:basedOn w:val="Normal"/>
    <w:next w:val="Normal"/>
    <w:link w:val="Heading2Char"/>
    <w:unhideWhenUsed/>
    <w:qFormat/>
    <w:rsid w:val="003666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3666D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D2"/>
    <w:rPr>
      <w:rFonts w:ascii="Tahoma" w:hAnsi="Tahoma" w:cs="Tahoma"/>
      <w:sz w:val="16"/>
      <w:szCs w:val="16"/>
    </w:rPr>
  </w:style>
  <w:style w:type="character" w:customStyle="1" w:styleId="Heading1Char">
    <w:name w:val="Heading 1 Char"/>
    <w:basedOn w:val="DefaultParagraphFont"/>
    <w:link w:val="Heading1"/>
    <w:uiPriority w:val="9"/>
    <w:rsid w:val="003666D2"/>
    <w:rPr>
      <w:rFonts w:asciiTheme="majorHAnsi" w:eastAsiaTheme="majorEastAsia" w:hAnsiTheme="majorHAnsi" w:cstheme="majorBidi"/>
      <w:b/>
      <w:bCs/>
      <w:color w:val="365F91" w:themeColor="accent1" w:themeShade="BF"/>
      <w:sz w:val="28"/>
      <w:szCs w:val="28"/>
      <w:lang w:eastAsia="lt-LT"/>
    </w:rPr>
  </w:style>
  <w:style w:type="character" w:customStyle="1" w:styleId="Heading2Char">
    <w:name w:val="Heading 2 Char"/>
    <w:basedOn w:val="DefaultParagraphFont"/>
    <w:link w:val="Heading2"/>
    <w:rsid w:val="003666D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666D2"/>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3666D2"/>
  </w:style>
  <w:style w:type="paragraph" w:styleId="Header">
    <w:name w:val="header"/>
    <w:basedOn w:val="Normal"/>
    <w:link w:val="HeaderChar"/>
    <w:uiPriority w:val="99"/>
    <w:unhideWhenUsed/>
    <w:rsid w:val="003666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666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66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666D2"/>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3666D2"/>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3666D2"/>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666D2"/>
    <w:rPr>
      <w:b/>
      <w:bCs/>
    </w:rPr>
  </w:style>
  <w:style w:type="character" w:styleId="Emphasis">
    <w:name w:val="Emphasis"/>
    <w:basedOn w:val="DefaultParagraphFont"/>
    <w:uiPriority w:val="20"/>
    <w:qFormat/>
    <w:rsid w:val="003666D2"/>
    <w:rPr>
      <w:i/>
      <w:iCs/>
    </w:rPr>
  </w:style>
  <w:style w:type="character" w:customStyle="1" w:styleId="apple-converted-space">
    <w:name w:val="apple-converted-space"/>
    <w:basedOn w:val="DefaultParagraphFont"/>
    <w:rsid w:val="003666D2"/>
  </w:style>
  <w:style w:type="paragraph" w:styleId="ListParagraph">
    <w:name w:val="List Paragraph"/>
    <w:basedOn w:val="Normal"/>
    <w:uiPriority w:val="99"/>
    <w:qFormat/>
    <w:rsid w:val="003666D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66D2"/>
    <w:rPr>
      <w:color w:val="0000FF"/>
      <w:u w:val="single"/>
    </w:rPr>
  </w:style>
  <w:style w:type="paragraph" w:styleId="NormalWeb">
    <w:name w:val="Normal (Web)"/>
    <w:basedOn w:val="Normal"/>
    <w:uiPriority w:val="99"/>
    <w:unhideWhenUsed/>
    <w:rsid w:val="003666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5yl5">
    <w:name w:val="_5yl5"/>
    <w:basedOn w:val="DefaultParagraphFont"/>
    <w:rsid w:val="003666D2"/>
  </w:style>
  <w:style w:type="paragraph" w:styleId="Title">
    <w:name w:val="Title"/>
    <w:basedOn w:val="Normal"/>
    <w:link w:val="TitleChar"/>
    <w:qFormat/>
    <w:rsid w:val="003666D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666D2"/>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3666D2"/>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3666D2"/>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3666D2"/>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3666D2"/>
    <w:rPr>
      <w:rFonts w:ascii="Arial" w:eastAsia="Times New Roman" w:hAnsi="Arial" w:cs="Times New Roman"/>
      <w:vanish/>
      <w:sz w:val="16"/>
      <w:szCs w:val="16"/>
      <w:lang w:eastAsia="x-none"/>
    </w:rPr>
  </w:style>
  <w:style w:type="paragraph" w:styleId="NoSpacing">
    <w:name w:val="No Spacing"/>
    <w:uiPriority w:val="1"/>
    <w:qFormat/>
    <w:rsid w:val="003666D2"/>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666D2"/>
    <w:pPr>
      <w:spacing w:line="276" w:lineRule="auto"/>
      <w:outlineLvl w:val="9"/>
    </w:pPr>
    <w:rPr>
      <w:lang w:val="en-US" w:eastAsia="ja-JP"/>
    </w:rPr>
  </w:style>
  <w:style w:type="paragraph" w:styleId="TOC1">
    <w:name w:val="toc 1"/>
    <w:basedOn w:val="Normal"/>
    <w:next w:val="Normal"/>
    <w:autoRedefine/>
    <w:uiPriority w:val="39"/>
    <w:unhideWhenUsed/>
    <w:rsid w:val="003666D2"/>
    <w:pPr>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3666D2"/>
    <w:pPr>
      <w:spacing w:after="100" w:line="240" w:lineRule="auto"/>
      <w:ind w:left="240"/>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3666D2"/>
    <w:pPr>
      <w:spacing w:after="100" w:line="240" w:lineRule="auto"/>
      <w:ind w:left="48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6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lt-LT"/>
    </w:rPr>
  </w:style>
  <w:style w:type="paragraph" w:styleId="Heading2">
    <w:name w:val="heading 2"/>
    <w:basedOn w:val="Normal"/>
    <w:next w:val="Normal"/>
    <w:link w:val="Heading2Char"/>
    <w:unhideWhenUsed/>
    <w:qFormat/>
    <w:rsid w:val="003666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3666D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D2"/>
    <w:rPr>
      <w:rFonts w:ascii="Tahoma" w:hAnsi="Tahoma" w:cs="Tahoma"/>
      <w:sz w:val="16"/>
      <w:szCs w:val="16"/>
    </w:rPr>
  </w:style>
  <w:style w:type="character" w:customStyle="1" w:styleId="Heading1Char">
    <w:name w:val="Heading 1 Char"/>
    <w:basedOn w:val="DefaultParagraphFont"/>
    <w:link w:val="Heading1"/>
    <w:uiPriority w:val="9"/>
    <w:rsid w:val="003666D2"/>
    <w:rPr>
      <w:rFonts w:asciiTheme="majorHAnsi" w:eastAsiaTheme="majorEastAsia" w:hAnsiTheme="majorHAnsi" w:cstheme="majorBidi"/>
      <w:b/>
      <w:bCs/>
      <w:color w:val="365F91" w:themeColor="accent1" w:themeShade="BF"/>
      <w:sz w:val="28"/>
      <w:szCs w:val="28"/>
      <w:lang w:eastAsia="lt-LT"/>
    </w:rPr>
  </w:style>
  <w:style w:type="character" w:customStyle="1" w:styleId="Heading2Char">
    <w:name w:val="Heading 2 Char"/>
    <w:basedOn w:val="DefaultParagraphFont"/>
    <w:link w:val="Heading2"/>
    <w:rsid w:val="003666D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666D2"/>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3666D2"/>
  </w:style>
  <w:style w:type="paragraph" w:styleId="Header">
    <w:name w:val="header"/>
    <w:basedOn w:val="Normal"/>
    <w:link w:val="HeaderChar"/>
    <w:uiPriority w:val="99"/>
    <w:unhideWhenUsed/>
    <w:rsid w:val="003666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666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66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666D2"/>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3666D2"/>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3666D2"/>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666D2"/>
    <w:rPr>
      <w:b/>
      <w:bCs/>
    </w:rPr>
  </w:style>
  <w:style w:type="character" w:styleId="Emphasis">
    <w:name w:val="Emphasis"/>
    <w:basedOn w:val="DefaultParagraphFont"/>
    <w:uiPriority w:val="20"/>
    <w:qFormat/>
    <w:rsid w:val="003666D2"/>
    <w:rPr>
      <w:i/>
      <w:iCs/>
    </w:rPr>
  </w:style>
  <w:style w:type="character" w:customStyle="1" w:styleId="apple-converted-space">
    <w:name w:val="apple-converted-space"/>
    <w:basedOn w:val="DefaultParagraphFont"/>
    <w:rsid w:val="003666D2"/>
  </w:style>
  <w:style w:type="paragraph" w:styleId="ListParagraph">
    <w:name w:val="List Paragraph"/>
    <w:basedOn w:val="Normal"/>
    <w:uiPriority w:val="99"/>
    <w:qFormat/>
    <w:rsid w:val="003666D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66D2"/>
    <w:rPr>
      <w:color w:val="0000FF"/>
      <w:u w:val="single"/>
    </w:rPr>
  </w:style>
  <w:style w:type="paragraph" w:styleId="NormalWeb">
    <w:name w:val="Normal (Web)"/>
    <w:basedOn w:val="Normal"/>
    <w:uiPriority w:val="99"/>
    <w:unhideWhenUsed/>
    <w:rsid w:val="003666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5yl5">
    <w:name w:val="_5yl5"/>
    <w:basedOn w:val="DefaultParagraphFont"/>
    <w:rsid w:val="003666D2"/>
  </w:style>
  <w:style w:type="paragraph" w:styleId="Title">
    <w:name w:val="Title"/>
    <w:basedOn w:val="Normal"/>
    <w:link w:val="TitleChar"/>
    <w:qFormat/>
    <w:rsid w:val="003666D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666D2"/>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3666D2"/>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3666D2"/>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3666D2"/>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3666D2"/>
    <w:rPr>
      <w:rFonts w:ascii="Arial" w:eastAsia="Times New Roman" w:hAnsi="Arial" w:cs="Times New Roman"/>
      <w:vanish/>
      <w:sz w:val="16"/>
      <w:szCs w:val="16"/>
      <w:lang w:eastAsia="x-none"/>
    </w:rPr>
  </w:style>
  <w:style w:type="paragraph" w:styleId="NoSpacing">
    <w:name w:val="No Spacing"/>
    <w:uiPriority w:val="1"/>
    <w:qFormat/>
    <w:rsid w:val="003666D2"/>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666D2"/>
    <w:pPr>
      <w:spacing w:line="276" w:lineRule="auto"/>
      <w:outlineLvl w:val="9"/>
    </w:pPr>
    <w:rPr>
      <w:lang w:val="en-US" w:eastAsia="ja-JP"/>
    </w:rPr>
  </w:style>
  <w:style w:type="paragraph" w:styleId="TOC1">
    <w:name w:val="toc 1"/>
    <w:basedOn w:val="Normal"/>
    <w:next w:val="Normal"/>
    <w:autoRedefine/>
    <w:uiPriority w:val="39"/>
    <w:unhideWhenUsed/>
    <w:rsid w:val="003666D2"/>
    <w:pPr>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3666D2"/>
    <w:pPr>
      <w:spacing w:after="100" w:line="240" w:lineRule="auto"/>
      <w:ind w:left="240"/>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3666D2"/>
    <w:pPr>
      <w:spacing w:after="100" w:line="240" w:lineRule="auto"/>
      <w:ind w:left="48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mas\Downloads\grafikai_&#352;&#279;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Tomas\Desktop\New%20Microsoft%20Excel%20Worksheet%20(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E:\Studijos\Mokomoji%20praktika\New%20Microsoft%20Excel%20Worksheet%20(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Studijos\Mokomoji%20praktika\New%20Microsoft%20Excel%20Worksheet%20(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F:\Studijos\Mokomoji%20praktika\New%20Microsoft%20Excel%20Worksheet%20(2).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omas\Downloads\grafikai_&#352;&#279;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omas\Downloads\grafikai_&#352;&#279;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mas\Downloads\grafikai_&#352;&#279;ta.xlsx" TargetMode="External"/><Relationship Id="rId2" Type="http://schemas.openxmlformats.org/officeDocument/2006/relationships/image" Target="../media/image2.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omas\Downloads\grafikai_&#352;&#279;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gradFill>
                <a:gsLst>
                  <a:gs pos="0">
                    <a:schemeClr val="accent6">
                      <a:lumMod val="75000"/>
                    </a:schemeClr>
                  </a:gs>
                  <a:gs pos="7000">
                    <a:schemeClr val="accent3"/>
                  </a:gs>
                  <a:gs pos="0">
                    <a:schemeClr val="accent1">
                      <a:tint val="23500"/>
                      <a:satMod val="160000"/>
                    </a:schemeClr>
                  </a:gs>
                </a:gsLst>
                <a:lin ang="5400000" scaled="0"/>
              </a:gradFill>
            </c:spPr>
          </c:dPt>
          <c:dPt>
            <c:idx val="1"/>
            <c:bubble3D val="0"/>
            <c:spPr>
              <a:pattFill prst="pct50">
                <a:fgClr>
                  <a:srgbClr val="00B050"/>
                </a:fgClr>
                <a:bgClr>
                  <a:schemeClr val="bg1"/>
                </a:bgClr>
              </a:pattFill>
            </c:spPr>
          </c:dPt>
          <c:dLbls>
            <c:numFmt formatCode="General" sourceLinked="0"/>
            <c:txPr>
              <a:bodyPr/>
              <a:lstStyle/>
              <a:p>
                <a:pPr>
                  <a:defRPr>
                    <a:latin typeface="Times New Roman" panose="02020603050405020304" pitchFamily="18" charset="0"/>
                    <a:cs typeface="Times New Roman" panose="02020603050405020304" pitchFamily="18" charset="0"/>
                  </a:defRPr>
                </a:pPr>
                <a:endParaRPr lang="lt-LT"/>
              </a:p>
            </c:txPr>
            <c:dLblPos val="bestFit"/>
            <c:showLegendKey val="0"/>
            <c:showVal val="1"/>
            <c:showCatName val="0"/>
            <c:showSerName val="0"/>
            <c:showPercent val="0"/>
            <c:showBubbleSize val="0"/>
            <c:showLeaderLines val="1"/>
          </c:dLbls>
          <c:cat>
            <c:strRef>
              <c:f>[grafikai_Šėta.xlsx]Sheet2!$D$5:$D$6</c:f>
              <c:strCache>
                <c:ptCount val="2"/>
                <c:pt idx="0">
                  <c:v>Vyras</c:v>
                </c:pt>
                <c:pt idx="1">
                  <c:v>Moteris</c:v>
                </c:pt>
              </c:strCache>
            </c:strRef>
          </c:cat>
          <c:val>
            <c:numRef>
              <c:f>[grafikai_Šėta.xlsx]Sheet2!$G$5:$G$6</c:f>
              <c:numCache>
                <c:formatCode>General</c:formatCode>
                <c:ptCount val="2"/>
                <c:pt idx="0">
                  <c:v>39.799999999999997</c:v>
                </c:pt>
                <c:pt idx="1">
                  <c:v>60.2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00B050"/>
            </a:solidFill>
          </c:spPr>
          <c:dPt>
            <c:idx val="0"/>
            <c:bubble3D val="0"/>
            <c:spPr>
              <a:solidFill>
                <a:schemeClr val="accent5">
                  <a:lumMod val="50000"/>
                </a:schemeClr>
              </a:solidFill>
            </c:spPr>
          </c:dPt>
          <c:dPt>
            <c:idx val="1"/>
            <c:bubble3D val="0"/>
            <c:spPr>
              <a:solidFill>
                <a:schemeClr val="bg2">
                  <a:lumMod val="75000"/>
                </a:schemeClr>
              </a:solid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Sheet1!$D$50:$D$51</c:f>
              <c:strCache>
                <c:ptCount val="2"/>
                <c:pt idx="0">
                  <c:v>Taip</c:v>
                </c:pt>
                <c:pt idx="1">
                  <c:v>Ne</c:v>
                </c:pt>
              </c:strCache>
            </c:strRef>
          </c:cat>
          <c:val>
            <c:numRef>
              <c:f>Sheet1!$G$50:$G$51</c:f>
              <c:numCache>
                <c:formatCode>General</c:formatCode>
                <c:ptCount val="2"/>
                <c:pt idx="0">
                  <c:v>70.900000000000006</c:v>
                </c:pt>
                <c:pt idx="1">
                  <c:v>29.1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pattFill prst="pct5">
              <a:fgClr>
                <a:schemeClr val="bg2">
                  <a:lumMod val="75000"/>
                </a:schemeClr>
              </a:fgClr>
              <a:bgClr>
                <a:schemeClr val="bg1"/>
              </a:bgClr>
            </a:pattFill>
          </c:spPr>
          <c:dPt>
            <c:idx val="0"/>
            <c:bubble3D val="0"/>
            <c:spPr>
              <a:pattFill prst="pct5">
                <a:fgClr>
                  <a:schemeClr val="tx1"/>
                </a:fgClr>
                <a:bgClr>
                  <a:srgbClr val="FF0000"/>
                </a:bgClr>
              </a:pattFill>
            </c:spPr>
          </c:dPt>
          <c:dPt>
            <c:idx val="1"/>
            <c:bubble3D val="0"/>
            <c:spPr>
              <a:pattFill prst="pct10">
                <a:fgClr>
                  <a:schemeClr val="accent6">
                    <a:lumMod val="50000"/>
                  </a:schemeClr>
                </a:fgClr>
                <a:bgClr>
                  <a:srgbClr val="00B0F0"/>
                </a:bgClr>
              </a:patt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Sheet1!$D$79:$D$80</c:f>
              <c:strCache>
                <c:ptCount val="2"/>
                <c:pt idx="0">
                  <c:v>Taip</c:v>
                </c:pt>
                <c:pt idx="1">
                  <c:v>Ne</c:v>
                </c:pt>
              </c:strCache>
            </c:strRef>
          </c:cat>
          <c:val>
            <c:numRef>
              <c:f>Sheet1!$G$79:$G$80</c:f>
              <c:numCache>
                <c:formatCode>General</c:formatCode>
                <c:ptCount val="2"/>
                <c:pt idx="0">
                  <c:v>63.7</c:v>
                </c:pt>
                <c:pt idx="1">
                  <c:v>36.299999999999997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Sheet1!$M$25</c:f>
              <c:strCache>
                <c:ptCount val="1"/>
                <c:pt idx="0">
                  <c:v>Taip</c:v>
                </c:pt>
              </c:strCache>
            </c:strRef>
          </c:tx>
          <c:spPr>
            <a:solidFill>
              <a:schemeClr val="accent6">
                <a:lumMod val="75000"/>
              </a:schemeClr>
            </a:solidFill>
          </c:spPr>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Sheet1!$L$26:$L$31</c:f>
              <c:strCache>
                <c:ptCount val="6"/>
                <c:pt idx="0">
                  <c:v>Kita</c:v>
                </c:pt>
                <c:pt idx="1">
                  <c:v>Įvarių paslaugų turistams teikimas</c:v>
                </c:pt>
                <c:pt idx="2">
                  <c:v>Gamtos gėrybių rinkimas, džiovinimas ir realizavimas</c:v>
                </c:pt>
                <c:pt idx="3">
                  <c:v>Amatininkų gaminių bei suvenyrų gamyba ir realizavimas</c:v>
                </c:pt>
                <c:pt idx="4">
                  <c:v>Kulinarinio paveldo produktų gamyba ir pardavimas</c:v>
                </c:pt>
                <c:pt idx="5">
                  <c:v>Vietos gamintojų produkcijos realizavimas</c:v>
                </c:pt>
              </c:strCache>
            </c:strRef>
          </c:cat>
          <c:val>
            <c:numRef>
              <c:f>Sheet1!$M$26:$M$31</c:f>
              <c:numCache>
                <c:formatCode>General</c:formatCode>
                <c:ptCount val="6"/>
                <c:pt idx="0" formatCode="###0.0">
                  <c:v>2.3605150214592276</c:v>
                </c:pt>
                <c:pt idx="1">
                  <c:v>6.9</c:v>
                </c:pt>
                <c:pt idx="2" formatCode="###0.0">
                  <c:v>20.386266094420602</c:v>
                </c:pt>
                <c:pt idx="3" formatCode="###0.0">
                  <c:v>20.770877944325481</c:v>
                </c:pt>
                <c:pt idx="4">
                  <c:v>25.3</c:v>
                </c:pt>
                <c:pt idx="5" formatCode="###0.0">
                  <c:v>34.763948497854081</c:v>
                </c:pt>
              </c:numCache>
            </c:numRef>
          </c:val>
        </c:ser>
        <c:ser>
          <c:idx val="1"/>
          <c:order val="1"/>
          <c:tx>
            <c:strRef>
              <c:f>Sheet1!$N$25</c:f>
              <c:strCache>
                <c:ptCount val="1"/>
                <c:pt idx="0">
                  <c:v>Ne</c:v>
                </c:pt>
              </c:strCache>
            </c:strRef>
          </c:tx>
          <c:spPr>
            <a:gradFill>
              <a:gsLst>
                <a:gs pos="0">
                  <a:schemeClr val="accent6">
                    <a:lumMod val="75000"/>
                  </a:schemeClr>
                </a:gs>
                <a:gs pos="4000">
                  <a:schemeClr val="accent3"/>
                </a:gs>
                <a:gs pos="0">
                  <a:schemeClr val="accent1">
                    <a:tint val="23500"/>
                    <a:satMod val="160000"/>
                  </a:schemeClr>
                </a:gs>
              </a:gsLst>
              <a:lin ang="5400000" scaled="0"/>
            </a:gradFill>
          </c:spPr>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Sheet1!$L$26:$L$31</c:f>
              <c:strCache>
                <c:ptCount val="6"/>
                <c:pt idx="0">
                  <c:v>Kita</c:v>
                </c:pt>
                <c:pt idx="1">
                  <c:v>Įvarių paslaugų turistams teikimas</c:v>
                </c:pt>
                <c:pt idx="2">
                  <c:v>Gamtos gėrybių rinkimas, džiovinimas ir realizavimas</c:v>
                </c:pt>
                <c:pt idx="3">
                  <c:v>Amatininkų gaminių bei suvenyrų gamyba ir realizavimas</c:v>
                </c:pt>
                <c:pt idx="4">
                  <c:v>Kulinarinio paveldo produktų gamyba ir pardavimas</c:v>
                </c:pt>
                <c:pt idx="5">
                  <c:v>Vietos gamintojų produkcijos realizavimas</c:v>
                </c:pt>
              </c:strCache>
            </c:strRef>
          </c:cat>
          <c:val>
            <c:numRef>
              <c:f>Sheet1!$N$26:$N$31</c:f>
              <c:numCache>
                <c:formatCode>General</c:formatCode>
                <c:ptCount val="6"/>
                <c:pt idx="0" formatCode="###0.0">
                  <c:v>97.639484978540779</c:v>
                </c:pt>
                <c:pt idx="1">
                  <c:v>93.1</c:v>
                </c:pt>
                <c:pt idx="2" formatCode="###0.0">
                  <c:v>79.613733905579394</c:v>
                </c:pt>
                <c:pt idx="3" formatCode="###0.0">
                  <c:v>79.229122055674523</c:v>
                </c:pt>
                <c:pt idx="4">
                  <c:v>74.7</c:v>
                </c:pt>
                <c:pt idx="5" formatCode="###0.0">
                  <c:v>65.236051502145926</c:v>
                </c:pt>
              </c:numCache>
            </c:numRef>
          </c:val>
        </c:ser>
        <c:dLbls>
          <c:showLegendKey val="0"/>
          <c:showVal val="0"/>
          <c:showCatName val="0"/>
          <c:showSerName val="0"/>
          <c:showPercent val="0"/>
          <c:showBubbleSize val="0"/>
        </c:dLbls>
        <c:gapWidth val="150"/>
        <c:shape val="box"/>
        <c:axId val="308491392"/>
        <c:axId val="308492928"/>
        <c:axId val="0"/>
      </c:bar3DChart>
      <c:catAx>
        <c:axId val="30849139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08492928"/>
        <c:crosses val="autoZero"/>
        <c:auto val="1"/>
        <c:lblAlgn val="ctr"/>
        <c:lblOffset val="100"/>
        <c:noMultiLvlLbl val="0"/>
      </c:catAx>
      <c:valAx>
        <c:axId val="308492928"/>
        <c:scaling>
          <c:orientation val="minMax"/>
        </c:scaling>
        <c:delete val="1"/>
        <c:axPos val="b"/>
        <c:numFmt formatCode="###0.0" sourceLinked="1"/>
        <c:majorTickMark val="out"/>
        <c:minorTickMark val="none"/>
        <c:tickLblPos val="nextTo"/>
        <c:crossAx val="3084913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Sheet1!$K$83</c:f>
              <c:strCache>
                <c:ptCount val="1"/>
                <c:pt idx="0">
                  <c:v>Taip</c:v>
                </c:pt>
              </c:strCache>
            </c:strRef>
          </c:tx>
          <c:spPr>
            <a:solidFill>
              <a:schemeClr val="tx2">
                <a:lumMod val="60000"/>
                <a:lumOff val="40000"/>
              </a:schemeClr>
            </a:solidFill>
          </c:spPr>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Sheet1!$J$84:$J$90</c:f>
              <c:strCache>
                <c:ptCount val="7"/>
                <c:pt idx="0">
                  <c:v>Bendruomenė neturi poreikio specialiai organizuoti ūkinę veiklą</c:v>
                </c:pt>
                <c:pt idx="1">
                  <c:v>Bendruomenė turi užsiimti tik visuomenine veikla, kuri nėra susijusi su pajamų gavimu</c:v>
                </c:pt>
                <c:pt idx="2">
                  <c:v>Pers silpna bendruomenės organizacija, kad galėtų sėkmingai imtis ūkinės veiklos</c:v>
                </c:pt>
                <c:pt idx="3">
                  <c:v>Bendruomenei trūksta žinių ir paslaugų organizavimo patirties</c:v>
                </c:pt>
                <c:pt idx="4">
                  <c:v>Trūksta gerų idėjų</c:v>
                </c:pt>
                <c:pt idx="5">
                  <c:v>Bendruomenėje daugelis nenori rizikuoti ir vengia atsakomybės</c:v>
                </c:pt>
                <c:pt idx="6">
                  <c:v>Bendruomenė neturi finansinių išteklių ūkinei veiklai vykdyti</c:v>
                </c:pt>
              </c:strCache>
            </c:strRef>
          </c:cat>
          <c:val>
            <c:numRef>
              <c:f>Sheet1!$K$84:$K$90</c:f>
              <c:numCache>
                <c:formatCode>General</c:formatCode>
                <c:ptCount val="7"/>
                <c:pt idx="0">
                  <c:v>14.7</c:v>
                </c:pt>
                <c:pt idx="1">
                  <c:v>20.2</c:v>
                </c:pt>
                <c:pt idx="2">
                  <c:v>25.7</c:v>
                </c:pt>
                <c:pt idx="3">
                  <c:v>25.8</c:v>
                </c:pt>
                <c:pt idx="4">
                  <c:v>27.6</c:v>
                </c:pt>
                <c:pt idx="5">
                  <c:v>34.1</c:v>
                </c:pt>
                <c:pt idx="6">
                  <c:v>44.1</c:v>
                </c:pt>
              </c:numCache>
            </c:numRef>
          </c:val>
        </c:ser>
        <c:ser>
          <c:idx val="1"/>
          <c:order val="1"/>
          <c:tx>
            <c:strRef>
              <c:f>Sheet1!$L$83</c:f>
              <c:strCache>
                <c:ptCount val="1"/>
                <c:pt idx="0">
                  <c:v>Ne</c:v>
                </c:pt>
              </c:strCache>
            </c:strRef>
          </c:tx>
          <c:invertIfNegative val="0"/>
          <c:cat>
            <c:strRef>
              <c:f>Sheet1!$J$84:$J$90</c:f>
              <c:strCache>
                <c:ptCount val="7"/>
                <c:pt idx="0">
                  <c:v>Bendruomenė neturi poreikio specialiai organizuoti ūkinę veiklą</c:v>
                </c:pt>
                <c:pt idx="1">
                  <c:v>Bendruomenė turi užsiimti tik visuomenine veikla, kuri nėra susijusi su pajamų gavimu</c:v>
                </c:pt>
                <c:pt idx="2">
                  <c:v>Pers silpna bendruomenės organizacija, kad galėtų sėkmingai imtis ūkinės veiklos</c:v>
                </c:pt>
                <c:pt idx="3">
                  <c:v>Bendruomenei trūksta žinių ir paslaugų organizavimo patirties</c:v>
                </c:pt>
                <c:pt idx="4">
                  <c:v>Trūksta gerų idėjų</c:v>
                </c:pt>
                <c:pt idx="5">
                  <c:v>Bendruomenėje daugelis nenori rizikuoti ir vengia atsakomybės</c:v>
                </c:pt>
                <c:pt idx="6">
                  <c:v>Bendruomenė neturi finansinių išteklių ūkinei veiklai vykdyti</c:v>
                </c:pt>
              </c:strCache>
            </c:strRef>
          </c:cat>
          <c:val>
            <c:numRef>
              <c:f>Sheet1!$L$84:$L$90</c:f>
              <c:numCache>
                <c:formatCode>General</c:formatCode>
                <c:ptCount val="7"/>
                <c:pt idx="0">
                  <c:v>85.3</c:v>
                </c:pt>
                <c:pt idx="1">
                  <c:v>79.8</c:v>
                </c:pt>
                <c:pt idx="2">
                  <c:v>74.3</c:v>
                </c:pt>
                <c:pt idx="3">
                  <c:v>74.2</c:v>
                </c:pt>
                <c:pt idx="4">
                  <c:v>72.400000000000006</c:v>
                </c:pt>
                <c:pt idx="5">
                  <c:v>65.7</c:v>
                </c:pt>
                <c:pt idx="6">
                  <c:v>55.9</c:v>
                </c:pt>
              </c:numCache>
            </c:numRef>
          </c:val>
        </c:ser>
        <c:dLbls>
          <c:showLegendKey val="0"/>
          <c:showVal val="0"/>
          <c:showCatName val="0"/>
          <c:showSerName val="0"/>
          <c:showPercent val="0"/>
          <c:showBubbleSize val="0"/>
        </c:dLbls>
        <c:gapWidth val="150"/>
        <c:shape val="cylinder"/>
        <c:axId val="308527104"/>
        <c:axId val="308528640"/>
        <c:axId val="0"/>
      </c:bar3DChart>
      <c:catAx>
        <c:axId val="30852710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08528640"/>
        <c:crosses val="autoZero"/>
        <c:auto val="1"/>
        <c:lblAlgn val="ctr"/>
        <c:lblOffset val="100"/>
        <c:noMultiLvlLbl val="0"/>
      </c:catAx>
      <c:valAx>
        <c:axId val="308528640"/>
        <c:scaling>
          <c:orientation val="minMax"/>
        </c:scaling>
        <c:delete val="1"/>
        <c:axPos val="b"/>
        <c:numFmt formatCode="General" sourceLinked="1"/>
        <c:majorTickMark val="out"/>
        <c:minorTickMark val="none"/>
        <c:tickLblPos val="nextTo"/>
        <c:crossAx val="30852710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scene3d>
              <a:camera prst="orthographicFront"/>
              <a:lightRig rig="threePt" dir="t"/>
            </a:scene3d>
            <a:sp3d prstMaterial="softEdge">
              <a:bevelT w="165100" prst="coolSlant"/>
              <a:bevelB w="165100" prst="coolSlant"/>
            </a:sp3d>
          </c:spPr>
          <c:explosion val="25"/>
          <c:dPt>
            <c:idx val="0"/>
            <c:bubble3D val="0"/>
            <c:spPr>
              <a:solidFill>
                <a:schemeClr val="accent6">
                  <a:lumMod val="75000"/>
                </a:schemeClr>
              </a:solidFill>
              <a:scene3d>
                <a:camera prst="orthographicFront"/>
                <a:lightRig rig="threePt" dir="t"/>
              </a:scene3d>
              <a:sp3d prstMaterial="softEdge">
                <a:bevelT w="165100" prst="coolSlant"/>
                <a:bevelB w="165100" prst="coolSlant"/>
              </a:sp3d>
            </c:spPr>
          </c:dPt>
          <c:dPt>
            <c:idx val="1"/>
            <c:bubble3D val="0"/>
            <c:spPr>
              <a:solidFill>
                <a:srgbClr val="7EE644"/>
              </a:solidFill>
              <a:scene3d>
                <a:camera prst="orthographicFront"/>
                <a:lightRig rig="threePt" dir="t"/>
              </a:scene3d>
              <a:sp3d prstMaterial="softEdge">
                <a:bevelT w="165100" prst="coolSlant"/>
                <a:bevelB w="165100" prst="coolSlant"/>
              </a:sp3d>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Sheet1!$C$181:$C$182</c:f>
              <c:strCache>
                <c:ptCount val="2"/>
                <c:pt idx="0">
                  <c:v>Taip</c:v>
                </c:pt>
                <c:pt idx="1">
                  <c:v>Ne</c:v>
                </c:pt>
              </c:strCache>
            </c:strRef>
          </c:cat>
          <c:val>
            <c:numRef>
              <c:f>Sheet1!$F$181:$F$182</c:f>
              <c:numCache>
                <c:formatCode>###0.0</c:formatCode>
                <c:ptCount val="2"/>
                <c:pt idx="0">
                  <c:v>26.4</c:v>
                </c:pt>
                <c:pt idx="1">
                  <c:v>73.560173160173207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Sheet1!$K$203</c:f>
              <c:strCache>
                <c:ptCount val="1"/>
                <c:pt idx="0">
                  <c:v>Taip</c:v>
                </c:pt>
              </c:strCache>
            </c:strRef>
          </c:tx>
          <c:spPr>
            <a:solidFill>
              <a:schemeClr val="accent4">
                <a:lumMod val="60000"/>
                <a:lumOff val="40000"/>
              </a:schemeClr>
            </a:solidFill>
          </c:spPr>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Sheet1!$J$204:$J$210</c:f>
              <c:strCache>
                <c:ptCount val="7"/>
                <c:pt idx="0">
                  <c:v>Jaunimo įtraukimas į savanorišką veiklą</c:v>
                </c:pt>
                <c:pt idx="1">
                  <c:v>Saugios gyvenamosios aplinkos kūrimas</c:v>
                </c:pt>
                <c:pt idx="2">
                  <c:v>Jaunimo informavimas apie galimybę mokytis, kurti verslą ir pan.</c:v>
                </c:pt>
                <c:pt idx="3">
                  <c:v>Jaunimo įtraukimas į bendruomenės veiklą</c:v>
                </c:pt>
                <c:pt idx="4">
                  <c:v>Laisvalaikio galimybių didinimas</c:v>
                </c:pt>
                <c:pt idx="5">
                  <c:v>Jaunimo verslo iniciatyvų finansavimas</c:v>
                </c:pt>
                <c:pt idx="6">
                  <c:v>Galimybių jauniems žmonėms dirbti sudarymas</c:v>
                </c:pt>
              </c:strCache>
            </c:strRef>
          </c:cat>
          <c:val>
            <c:numRef>
              <c:f>Sheet1!$K$204:$K$210</c:f>
              <c:numCache>
                <c:formatCode>General</c:formatCode>
                <c:ptCount val="7"/>
                <c:pt idx="0">
                  <c:v>24.6</c:v>
                </c:pt>
                <c:pt idx="1">
                  <c:v>25.5</c:v>
                </c:pt>
                <c:pt idx="2">
                  <c:v>31.7</c:v>
                </c:pt>
                <c:pt idx="3">
                  <c:v>38.200000000000003</c:v>
                </c:pt>
                <c:pt idx="4">
                  <c:v>39.700000000000003</c:v>
                </c:pt>
                <c:pt idx="5">
                  <c:v>43.7</c:v>
                </c:pt>
                <c:pt idx="6">
                  <c:v>47.8</c:v>
                </c:pt>
              </c:numCache>
            </c:numRef>
          </c:val>
        </c:ser>
        <c:ser>
          <c:idx val="1"/>
          <c:order val="1"/>
          <c:tx>
            <c:strRef>
              <c:f>Sheet1!$L$203</c:f>
              <c:strCache>
                <c:ptCount val="1"/>
                <c:pt idx="0">
                  <c:v>Ne</c:v>
                </c:pt>
              </c:strCache>
            </c:strRef>
          </c:tx>
          <c:spPr>
            <a:solidFill>
              <a:schemeClr val="accent3">
                <a:lumMod val="75000"/>
              </a:schemeClr>
            </a:solidFill>
          </c:spPr>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Sheet1!$J$204:$J$210</c:f>
              <c:strCache>
                <c:ptCount val="7"/>
                <c:pt idx="0">
                  <c:v>Jaunimo įtraukimas į savanorišką veiklą</c:v>
                </c:pt>
                <c:pt idx="1">
                  <c:v>Saugios gyvenamosios aplinkos kūrimas</c:v>
                </c:pt>
                <c:pt idx="2">
                  <c:v>Jaunimo informavimas apie galimybę mokytis, kurti verslą ir pan.</c:v>
                </c:pt>
                <c:pt idx="3">
                  <c:v>Jaunimo įtraukimas į bendruomenės veiklą</c:v>
                </c:pt>
                <c:pt idx="4">
                  <c:v>Laisvalaikio galimybių didinimas</c:v>
                </c:pt>
                <c:pt idx="5">
                  <c:v>Jaunimo verslo iniciatyvų finansavimas</c:v>
                </c:pt>
                <c:pt idx="6">
                  <c:v>Galimybių jauniems žmonėms dirbti sudarymas</c:v>
                </c:pt>
              </c:strCache>
            </c:strRef>
          </c:cat>
          <c:val>
            <c:numRef>
              <c:f>Sheet1!$L$204:$L$210</c:f>
              <c:numCache>
                <c:formatCode>General</c:formatCode>
                <c:ptCount val="7"/>
                <c:pt idx="0">
                  <c:v>75.400000000000006</c:v>
                </c:pt>
                <c:pt idx="1">
                  <c:v>74.5</c:v>
                </c:pt>
                <c:pt idx="2">
                  <c:v>68.3</c:v>
                </c:pt>
                <c:pt idx="3">
                  <c:v>61.8</c:v>
                </c:pt>
                <c:pt idx="4">
                  <c:v>60.3</c:v>
                </c:pt>
                <c:pt idx="5">
                  <c:v>56.3</c:v>
                </c:pt>
                <c:pt idx="6">
                  <c:v>52.2</c:v>
                </c:pt>
              </c:numCache>
            </c:numRef>
          </c:val>
        </c:ser>
        <c:dLbls>
          <c:showLegendKey val="0"/>
          <c:showVal val="0"/>
          <c:showCatName val="0"/>
          <c:showSerName val="0"/>
          <c:showPercent val="0"/>
          <c:showBubbleSize val="0"/>
        </c:dLbls>
        <c:gapWidth val="150"/>
        <c:shape val="box"/>
        <c:axId val="310163712"/>
        <c:axId val="310173696"/>
        <c:axId val="0"/>
      </c:bar3DChart>
      <c:catAx>
        <c:axId val="31016371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10173696"/>
        <c:crosses val="autoZero"/>
        <c:auto val="1"/>
        <c:lblAlgn val="ctr"/>
        <c:lblOffset val="100"/>
        <c:noMultiLvlLbl val="0"/>
      </c:catAx>
      <c:valAx>
        <c:axId val="310173696"/>
        <c:scaling>
          <c:orientation val="minMax"/>
        </c:scaling>
        <c:delete val="1"/>
        <c:axPos val="b"/>
        <c:numFmt formatCode="General" sourceLinked="1"/>
        <c:majorTickMark val="out"/>
        <c:minorTickMark val="none"/>
        <c:tickLblPos val="nextTo"/>
        <c:crossAx val="31016371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[grafikai_Šėta.xlsx]Sheet2!$D$6:$D$14</c:f>
              <c:strCache>
                <c:ptCount val="1"/>
                <c:pt idx="0">
                  <c:v>Gyvena vienas 2 4 3 1 5 7 6 10</c:v>
                </c:pt>
              </c:strCache>
            </c:strRef>
          </c:tx>
          <c:dLbls>
            <c:dLbl>
              <c:idx val="6"/>
              <c:layout>
                <c:manualLayout>
                  <c:x val="5.7368766404199472E-3"/>
                  <c:y val="-1.1677238261883931E-2"/>
                </c:manualLayout>
              </c:layout>
              <c:dLblPos val="bestFit"/>
              <c:showLegendKey val="0"/>
              <c:showVal val="0"/>
              <c:showCatName val="0"/>
              <c:showSerName val="0"/>
              <c:showPercent val="1"/>
              <c:showBubbleSize val="0"/>
            </c:dLbl>
            <c:dLbl>
              <c:idx val="8"/>
              <c:layout>
                <c:manualLayout>
                  <c:x val="2.7904199475065668E-2"/>
                  <c:y val="2.3557159521726451E-2"/>
                </c:manualLayout>
              </c:layout>
              <c:dLblPos val="bestFi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lt-LT"/>
              </a:p>
            </c:txPr>
            <c:dLblPos val="bestFit"/>
            <c:showLegendKey val="0"/>
            <c:showVal val="0"/>
            <c:showCatName val="0"/>
            <c:showSerName val="0"/>
            <c:showPercent val="1"/>
            <c:showBubbleSize val="0"/>
            <c:showLeaderLines val="0"/>
          </c:dLbls>
          <c:cat>
            <c:strRef>
              <c:f>[grafikai_Šėta.xlsx]Sheet2!$D$6:$D$14</c:f>
              <c:strCache>
                <c:ptCount val="9"/>
                <c:pt idx="0">
                  <c:v>Gyvena vienas</c:v>
                </c:pt>
                <c:pt idx="1">
                  <c:v>2</c:v>
                </c:pt>
                <c:pt idx="2">
                  <c:v>4</c:v>
                </c:pt>
                <c:pt idx="3">
                  <c:v>3</c:v>
                </c:pt>
                <c:pt idx="4">
                  <c:v>1</c:v>
                </c:pt>
                <c:pt idx="5">
                  <c:v>5</c:v>
                </c:pt>
                <c:pt idx="6">
                  <c:v>7</c:v>
                </c:pt>
                <c:pt idx="7">
                  <c:v>6</c:v>
                </c:pt>
                <c:pt idx="8">
                  <c:v>10</c:v>
                </c:pt>
              </c:strCache>
            </c:strRef>
          </c:cat>
          <c:val>
            <c:numRef>
              <c:f>[grafikai_Šėta.xlsx]Sheet2!$F$6:$F$14</c:f>
              <c:numCache>
                <c:formatCode>General</c:formatCode>
                <c:ptCount val="9"/>
                <c:pt idx="0">
                  <c:v>37.9</c:v>
                </c:pt>
                <c:pt idx="1">
                  <c:v>17.2</c:v>
                </c:pt>
                <c:pt idx="2">
                  <c:v>13.1</c:v>
                </c:pt>
                <c:pt idx="3">
                  <c:v>12.7</c:v>
                </c:pt>
                <c:pt idx="4">
                  <c:v>12.1</c:v>
                </c:pt>
                <c:pt idx="5">
                  <c:v>3.6</c:v>
                </c:pt>
                <c:pt idx="6">
                  <c:v>1.7</c:v>
                </c:pt>
                <c:pt idx="7">
                  <c:v>1.5</c:v>
                </c:pt>
                <c:pt idx="8">
                  <c:v>0.2</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a:gsLst>
                <a:gs pos="2000">
                  <a:schemeClr val="accent6">
                    <a:lumMod val="75000"/>
                  </a:schemeClr>
                </a:gs>
                <a:gs pos="95000">
                  <a:schemeClr val="accent3"/>
                </a:gs>
                <a:gs pos="100000">
                  <a:schemeClr val="accent1">
                    <a:tint val="23500"/>
                    <a:satMod val="160000"/>
                  </a:schemeClr>
                </a:gs>
              </a:gsLst>
              <a:lin ang="5400000" scaled="0"/>
            </a:gradFill>
          </c:spPr>
          <c:invertIfNegative val="0"/>
          <c:dLbls>
            <c:dLbl>
              <c:idx val="0"/>
              <c:tx>
                <c:rich>
                  <a:bodyPr/>
                  <a:lstStyle/>
                  <a:p>
                    <a:r>
                      <a:rPr lang="en-US">
                        <a:latin typeface="Times New Roman" panose="02020603050405020304" pitchFamily="18" charset="0"/>
                        <a:cs typeface="Times New Roman" panose="02020603050405020304" pitchFamily="18" charset="0"/>
                      </a:rPr>
                      <a:t>7,7%</a:t>
                    </a:r>
                    <a:endParaRPr lang="en-US"/>
                  </a:p>
                </c:rich>
              </c:tx>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11.6%</a:t>
                    </a:r>
                    <a:endParaRPr lang="en-US"/>
                  </a:p>
                </c:rich>
              </c:tx>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19,7%</a:t>
                    </a:r>
                    <a:endParaRPr lang="en-US"/>
                  </a:p>
                </c:rich>
              </c:tx>
              <c:showLegendKey val="0"/>
              <c:showVal val="1"/>
              <c:showCatName val="0"/>
              <c:showSerName val="0"/>
              <c:showPercent val="0"/>
              <c:showBubbleSize val="0"/>
            </c:dLbl>
            <c:dLbl>
              <c:idx val="3"/>
              <c:tx>
                <c:rich>
                  <a:bodyPr/>
                  <a:lstStyle/>
                  <a:p>
                    <a:r>
                      <a:rPr lang="en-US">
                        <a:latin typeface="Times New Roman" panose="02020603050405020304" pitchFamily="18" charset="0"/>
                        <a:cs typeface="Times New Roman" panose="02020603050405020304" pitchFamily="18" charset="0"/>
                      </a:rPr>
                      <a:t>61%</a:t>
                    </a:r>
                    <a:endParaRPr lang="en-US"/>
                  </a:p>
                </c:rich>
              </c:tx>
              <c:showLegendKey val="0"/>
              <c:showVal val="1"/>
              <c:showCatName val="0"/>
              <c:showSerName val="0"/>
              <c:showPercent val="0"/>
              <c:showBubbleSize val="0"/>
            </c:dLbl>
            <c:numFmt formatCode="0.00%" sourceLinked="0"/>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[grafikai_Šėta.xlsx]Sheet2!$C$5:$C$8</c:f>
              <c:strCache>
                <c:ptCount val="4"/>
                <c:pt idx="0">
                  <c:v>Išsituokęs/išsituokusi</c:v>
                </c:pt>
                <c:pt idx="1">
                  <c:v>Našlys/našlė</c:v>
                </c:pt>
                <c:pt idx="2">
                  <c:v>Nevedęs/netekėjusi</c:v>
                </c:pt>
                <c:pt idx="3">
                  <c:v>Vedęs/ištekėjęs</c:v>
                </c:pt>
              </c:strCache>
            </c:strRef>
          </c:cat>
          <c:val>
            <c:numRef>
              <c:f>[grafikai_Šėta.xlsx]Sheet2!$E$5:$E$8</c:f>
              <c:numCache>
                <c:formatCode>General</c:formatCode>
                <c:ptCount val="4"/>
                <c:pt idx="0">
                  <c:v>7.7</c:v>
                </c:pt>
                <c:pt idx="1">
                  <c:v>11.6</c:v>
                </c:pt>
                <c:pt idx="2">
                  <c:v>19.7</c:v>
                </c:pt>
                <c:pt idx="3">
                  <c:v>61</c:v>
                </c:pt>
              </c:numCache>
            </c:numRef>
          </c:val>
        </c:ser>
        <c:dLbls>
          <c:showLegendKey val="0"/>
          <c:showVal val="0"/>
          <c:showCatName val="0"/>
          <c:showSerName val="0"/>
          <c:showPercent val="0"/>
          <c:showBubbleSize val="0"/>
        </c:dLbls>
        <c:gapWidth val="150"/>
        <c:axId val="295245312"/>
        <c:axId val="295246848"/>
      </c:barChart>
      <c:catAx>
        <c:axId val="29524531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5246848"/>
        <c:crosses val="autoZero"/>
        <c:auto val="1"/>
        <c:lblAlgn val="ctr"/>
        <c:lblOffset val="100"/>
        <c:noMultiLvlLbl val="0"/>
      </c:catAx>
      <c:valAx>
        <c:axId val="29524684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524531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spPr>
            <a:blipFill>
              <a:blip xmlns:r="http://schemas.openxmlformats.org/officeDocument/2006/relationships" r:embed="rId2"/>
              <a:tile tx="0" ty="0" sx="100000" sy="100000" flip="none" algn="tl"/>
            </a:blipFill>
          </c:spPr>
          <c:invertIfNegative val="0"/>
          <c:dLbls>
            <c:dLbl>
              <c:idx val="0"/>
              <c:layout>
                <c:manualLayout>
                  <c:x val="0"/>
                  <c:y val="-1.3888888888888888E-2"/>
                </c:manualLayout>
              </c:layout>
              <c:showLegendKey val="0"/>
              <c:showVal val="1"/>
              <c:showCatName val="0"/>
              <c:showSerName val="0"/>
              <c:showPercent val="0"/>
              <c:showBubbleSize val="0"/>
            </c:dLbl>
            <c:dLbl>
              <c:idx val="1"/>
              <c:layout>
                <c:manualLayout>
                  <c:x val="0"/>
                  <c:y val="-1.8518518518518517E-2"/>
                </c:manualLayout>
              </c:layout>
              <c:showLegendKey val="0"/>
              <c:showVal val="1"/>
              <c:showCatName val="0"/>
              <c:showSerName val="0"/>
              <c:showPercent val="0"/>
              <c:showBubbleSize val="0"/>
            </c:dLbl>
            <c:dLbl>
              <c:idx val="2"/>
              <c:layout>
                <c:manualLayout>
                  <c:x val="0"/>
                  <c:y val="-1.8518518518518517E-2"/>
                </c:manualLayout>
              </c:layout>
              <c:showLegendKey val="0"/>
              <c:showVal val="1"/>
              <c:showCatName val="0"/>
              <c:showSerName val="0"/>
              <c:showPercent val="0"/>
              <c:showBubbleSize val="0"/>
            </c:dLbl>
            <c:dLbl>
              <c:idx val="3"/>
              <c:layout>
                <c:manualLayout>
                  <c:x val="-5.0925337632079971E-17"/>
                  <c:y val="-1.3888888888888888E-2"/>
                </c:manualLayout>
              </c:layout>
              <c:showLegendKey val="0"/>
              <c:showVal val="1"/>
              <c:showCatName val="0"/>
              <c:showSerName val="0"/>
              <c:showPercent val="0"/>
              <c:showBubbleSize val="0"/>
            </c:dLbl>
            <c:dLbl>
              <c:idx val="4"/>
              <c:layout>
                <c:manualLayout>
                  <c:x val="-2.187226597184669E-7"/>
                  <c:y val="-1.8518518518518517E-2"/>
                </c:manualLayout>
              </c:layout>
              <c:showLegendKey val="0"/>
              <c:showVal val="1"/>
              <c:showCatName val="0"/>
              <c:showSerName val="0"/>
              <c:showPercent val="0"/>
              <c:showBubbleSize val="0"/>
            </c:dLbl>
            <c:dLbl>
              <c:idx val="5"/>
              <c:layout>
                <c:manualLayout>
                  <c:x val="0"/>
                  <c:y val="-9.2592592592592813E-3"/>
                </c:manualLayout>
              </c:layout>
              <c:showLegendKey val="0"/>
              <c:showVal val="1"/>
              <c:showCatName val="0"/>
              <c:showSerName val="0"/>
              <c:showPercent val="0"/>
              <c:showBubbleSize val="0"/>
            </c:dLbl>
            <c:txPr>
              <a:bodyPr rot="0" vert="horz" anchor="t" anchorCtr="0"/>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[grafikai_Šėta.xlsx]Sheet1!$C$5:$C$10</c:f>
              <c:strCache>
                <c:ptCount val="6"/>
                <c:pt idx="0">
                  <c:v>Pradinis </c:v>
                </c:pt>
                <c:pt idx="1">
                  <c:v>Pagrindinis </c:v>
                </c:pt>
                <c:pt idx="2">
                  <c:v>Aukštasis </c:v>
                </c:pt>
                <c:pt idx="3">
                  <c:v>Vidurinis </c:v>
                </c:pt>
                <c:pt idx="4">
                  <c:v>Aukštesnysis </c:v>
                </c:pt>
                <c:pt idx="5">
                  <c:v>Profesinis </c:v>
                </c:pt>
              </c:strCache>
            </c:strRef>
          </c:cat>
          <c:val>
            <c:numRef>
              <c:f>[grafikai_Šėta.xlsx]Sheet1!$E$5:$E$10</c:f>
              <c:numCache>
                <c:formatCode>General</c:formatCode>
                <c:ptCount val="6"/>
                <c:pt idx="0">
                  <c:v>4</c:v>
                </c:pt>
                <c:pt idx="1">
                  <c:v>8.5</c:v>
                </c:pt>
                <c:pt idx="2">
                  <c:v>19.7</c:v>
                </c:pt>
                <c:pt idx="3">
                  <c:v>20.100000000000001</c:v>
                </c:pt>
                <c:pt idx="4">
                  <c:v>21</c:v>
                </c:pt>
                <c:pt idx="5">
                  <c:v>26.7</c:v>
                </c:pt>
              </c:numCache>
            </c:numRef>
          </c:val>
        </c:ser>
        <c:dLbls>
          <c:showLegendKey val="0"/>
          <c:showVal val="0"/>
          <c:showCatName val="0"/>
          <c:showSerName val="0"/>
          <c:showPercent val="0"/>
          <c:showBubbleSize val="0"/>
        </c:dLbls>
        <c:gapWidth val="150"/>
        <c:shape val="cylinder"/>
        <c:axId val="299531264"/>
        <c:axId val="299553536"/>
        <c:axId val="0"/>
      </c:bar3DChart>
      <c:catAx>
        <c:axId val="29953126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9553536"/>
        <c:crosses val="autoZero"/>
        <c:auto val="1"/>
        <c:lblAlgn val="ctr"/>
        <c:lblOffset val="100"/>
        <c:noMultiLvlLbl val="0"/>
      </c:catAx>
      <c:valAx>
        <c:axId val="2995535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9531264"/>
        <c:crosses val="autoZero"/>
        <c:crossBetween val="between"/>
      </c:valAx>
    </c:plotArea>
    <c:plotVisOnly val="1"/>
    <c:dispBlanksAs val="gap"/>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B050"/>
              </a:solid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[grafikai_Šėta.xlsx]Sheet2!$D$8:$D$9</c:f>
              <c:strCache>
                <c:ptCount val="2"/>
                <c:pt idx="0">
                  <c:v>Taip</c:v>
                </c:pt>
                <c:pt idx="1">
                  <c:v>Ne</c:v>
                </c:pt>
              </c:strCache>
            </c:strRef>
          </c:cat>
          <c:val>
            <c:numRef>
              <c:f>[grafikai_Šėta.xlsx]Sheet2!$G$8:$G$9</c:f>
              <c:numCache>
                <c:formatCode>General</c:formatCode>
                <c:ptCount val="2"/>
                <c:pt idx="0">
                  <c:v>41.7</c:v>
                </c:pt>
                <c:pt idx="1">
                  <c:v>58.3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B050"/>
              </a:solidFill>
            </c:spPr>
          </c:dPt>
          <c:dPt>
            <c:idx val="1"/>
            <c:bubble3D val="0"/>
            <c:spPr>
              <a:solidFill>
                <a:srgbClr val="FF0000"/>
              </a:solidFill>
            </c:spPr>
          </c:dPt>
          <c:dPt>
            <c:idx val="2"/>
            <c:bubble3D val="0"/>
            <c:spPr>
              <a:solidFill>
                <a:schemeClr val="accent6">
                  <a:lumMod val="50000"/>
                </a:schemeClr>
              </a:solidFill>
            </c:spPr>
          </c:dPt>
          <c:dPt>
            <c:idx val="3"/>
            <c:bubble3D val="0"/>
            <c:spPr>
              <a:solidFill>
                <a:srgbClr val="FFFF00"/>
              </a:solid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Sheet1!$D$49:$D$53</c:f>
              <c:strCache>
                <c:ptCount val="5"/>
                <c:pt idx="0">
                  <c:v>351-749</c:v>
                </c:pt>
                <c:pt idx="1">
                  <c:v>750-1000</c:v>
                </c:pt>
                <c:pt idx="2">
                  <c:v>Iki 350</c:v>
                </c:pt>
                <c:pt idx="3">
                  <c:v>1001-2000</c:v>
                </c:pt>
                <c:pt idx="4">
                  <c:v>2001 ir daugiau</c:v>
                </c:pt>
              </c:strCache>
            </c:strRef>
          </c:cat>
          <c:val>
            <c:numRef>
              <c:f>Sheet1!$E$49:$E$53</c:f>
              <c:numCache>
                <c:formatCode>General</c:formatCode>
                <c:ptCount val="5"/>
                <c:pt idx="0">
                  <c:v>36.9</c:v>
                </c:pt>
                <c:pt idx="1">
                  <c:v>26.5</c:v>
                </c:pt>
                <c:pt idx="2">
                  <c:v>21.5</c:v>
                </c:pt>
                <c:pt idx="3">
                  <c:v>11.1</c:v>
                </c:pt>
                <c:pt idx="4">
                  <c:v>4.0999999999999996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pattFill prst="trellis">
              <a:fgClr>
                <a:schemeClr val="accent6">
                  <a:lumMod val="75000"/>
                </a:schemeClr>
              </a:fgClr>
              <a:bgClr>
                <a:srgbClr val="92D050"/>
              </a:bgClr>
            </a:pattFill>
          </c:spPr>
          <c:explosion val="25"/>
          <c:dPt>
            <c:idx val="0"/>
            <c:bubble3D val="0"/>
            <c:explosion val="0"/>
            <c:spPr>
              <a:pattFill prst="pct50">
                <a:fgClr>
                  <a:schemeClr val="tx2">
                    <a:lumMod val="60000"/>
                    <a:lumOff val="40000"/>
                  </a:schemeClr>
                </a:fgClr>
                <a:bgClr>
                  <a:schemeClr val="bg1"/>
                </a:bgClr>
              </a:pattFill>
            </c:spPr>
          </c:dPt>
          <c:dPt>
            <c:idx val="1"/>
            <c:bubble3D val="0"/>
            <c:explosion val="9"/>
            <c:spPr>
              <a:pattFill prst="pct50">
                <a:fgClr>
                  <a:srgbClr val="FF0000"/>
                </a:fgClr>
                <a:bgClr>
                  <a:schemeClr val="bg1"/>
                </a:bgClr>
              </a:patt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Sheet1!$C$6:$C$7</c:f>
              <c:strCache>
                <c:ptCount val="2"/>
                <c:pt idx="0">
                  <c:v>Ne</c:v>
                </c:pt>
                <c:pt idx="1">
                  <c:v>Taip</c:v>
                </c:pt>
              </c:strCache>
            </c:strRef>
          </c:cat>
          <c:val>
            <c:numRef>
              <c:f>Sheet1!$F$6:$F$7</c:f>
              <c:numCache>
                <c:formatCode>General</c:formatCode>
                <c:ptCount val="2"/>
                <c:pt idx="0">
                  <c:v>51.6</c:v>
                </c:pt>
                <c:pt idx="1">
                  <c:v>48.4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Pt>
            <c:idx val="0"/>
            <c:bubble3D val="0"/>
            <c:spPr>
              <a:pattFill prst="ltDnDiag">
                <a:fgClr>
                  <a:srgbClr val="7030A0"/>
                </a:fgClr>
                <a:bgClr>
                  <a:schemeClr val="bg1"/>
                </a:bgClr>
              </a:pattFill>
            </c:spPr>
          </c:dPt>
          <c:dPt>
            <c:idx val="1"/>
            <c:bubble3D val="0"/>
            <c:explosion val="1"/>
            <c:spPr>
              <a:pattFill prst="ltUpDiag">
                <a:fgClr>
                  <a:srgbClr val="FF0000"/>
                </a:fgClr>
                <a:bgClr>
                  <a:schemeClr val="bg1"/>
                </a:bgClr>
              </a:pattFill>
            </c:spPr>
          </c:dPt>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Sheet1!$D$35:$D$36</c:f>
              <c:strCache>
                <c:ptCount val="2"/>
                <c:pt idx="0">
                  <c:v>Ne</c:v>
                </c:pt>
                <c:pt idx="1">
                  <c:v>Taip</c:v>
                </c:pt>
              </c:strCache>
            </c:strRef>
          </c:cat>
          <c:val>
            <c:numRef>
              <c:f>Sheet1!$G$35:$G$36</c:f>
              <c:numCache>
                <c:formatCode>General</c:formatCode>
                <c:ptCount val="2"/>
                <c:pt idx="0">
                  <c:v>73.2</c:v>
                </c:pt>
                <c:pt idx="1">
                  <c:v>26.8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Sheet1!$D$24</c:f>
              <c:strCache>
                <c:ptCount val="1"/>
                <c:pt idx="0">
                  <c:v>vidurkis</c:v>
                </c:pt>
              </c:strCache>
            </c:strRef>
          </c:tx>
          <c:spPr>
            <a:solidFill>
              <a:srgbClr val="00B050"/>
            </a:solidFill>
          </c:spPr>
          <c:invertIfNegative val="0"/>
          <c:dLbls>
            <c:numFmt formatCode="#,##0.00" sourceLinked="0"/>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Sheet1!$C$25:$C$29</c:f>
              <c:strCache>
                <c:ptCount val="5"/>
                <c:pt idx="0">
                  <c:v>Palankesnių sąlygų pradėti veiklą ūkininkavimo sektroiuje sudarymas</c:v>
                </c:pt>
                <c:pt idx="1">
                  <c:v>Projektai, skirti vietos produkcijos perdirbimui ir realizavimui</c:v>
                </c:pt>
                <c:pt idx="2">
                  <c:v>Paslaugų (švietimo, kultūros, sporto) sričių plėtra</c:v>
                </c:pt>
                <c:pt idx="3">
                  <c:v>Paslaugų socialiai pažeidžiamoms grupėms plėtra</c:v>
                </c:pt>
                <c:pt idx="4">
                  <c:v>Parama darbo vietų kūrimui</c:v>
                </c:pt>
              </c:strCache>
            </c:strRef>
          </c:cat>
          <c:val>
            <c:numRef>
              <c:f>Sheet1!$D$25:$D$29</c:f>
              <c:numCache>
                <c:formatCode>General</c:formatCode>
                <c:ptCount val="5"/>
                <c:pt idx="0">
                  <c:v>3.48</c:v>
                </c:pt>
                <c:pt idx="1">
                  <c:v>3.67</c:v>
                </c:pt>
                <c:pt idx="2">
                  <c:v>3.8022999999999998</c:v>
                </c:pt>
                <c:pt idx="3">
                  <c:v>3.8307000000000002</c:v>
                </c:pt>
                <c:pt idx="4">
                  <c:v>4.4447000000000001</c:v>
                </c:pt>
              </c:numCache>
            </c:numRef>
          </c:val>
        </c:ser>
        <c:ser>
          <c:idx val="1"/>
          <c:order val="1"/>
          <c:tx>
            <c:strRef>
              <c:f>Sheet1!$E$24</c:f>
              <c:strCache>
                <c:ptCount val="1"/>
                <c:pt idx="0">
                  <c:v>st. nuokrypis</c:v>
                </c:pt>
              </c:strCache>
            </c:strRef>
          </c:tx>
          <c:spPr>
            <a:solidFill>
              <a:srgbClr val="FF0000"/>
            </a:solidFill>
          </c:spPr>
          <c:invertIfNegative val="0"/>
          <c:dLbls>
            <c:numFmt formatCode="#,##0.00" sourceLinked="0"/>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Sheet1!$C$25:$C$29</c:f>
              <c:strCache>
                <c:ptCount val="5"/>
                <c:pt idx="0">
                  <c:v>Palankesnių sąlygų pradėti veiklą ūkininkavimo sektroiuje sudarymas</c:v>
                </c:pt>
                <c:pt idx="1">
                  <c:v>Projektai, skirti vietos produkcijos perdirbimui ir realizavimui</c:v>
                </c:pt>
                <c:pt idx="2">
                  <c:v>Paslaugų (švietimo, kultūros, sporto) sričių plėtra</c:v>
                </c:pt>
                <c:pt idx="3">
                  <c:v>Paslaugų socialiai pažeidžiamoms grupėms plėtra</c:v>
                </c:pt>
                <c:pt idx="4">
                  <c:v>Parama darbo vietų kūrimui</c:v>
                </c:pt>
              </c:strCache>
            </c:strRef>
          </c:cat>
          <c:val>
            <c:numRef>
              <c:f>Sheet1!$E$25:$E$29</c:f>
              <c:numCache>
                <c:formatCode>General</c:formatCode>
                <c:ptCount val="5"/>
                <c:pt idx="0">
                  <c:v>1.4</c:v>
                </c:pt>
                <c:pt idx="1">
                  <c:v>1.32</c:v>
                </c:pt>
                <c:pt idx="2">
                  <c:v>1.26797</c:v>
                </c:pt>
                <c:pt idx="3">
                  <c:v>1.1962900000000001</c:v>
                </c:pt>
                <c:pt idx="4">
                  <c:v>1.0501</c:v>
                </c:pt>
              </c:numCache>
            </c:numRef>
          </c:val>
        </c:ser>
        <c:dLbls>
          <c:showLegendKey val="0"/>
          <c:showVal val="0"/>
          <c:showCatName val="0"/>
          <c:showSerName val="0"/>
          <c:showPercent val="0"/>
          <c:showBubbleSize val="0"/>
        </c:dLbls>
        <c:gapWidth val="150"/>
        <c:shape val="box"/>
        <c:axId val="300465152"/>
        <c:axId val="300471040"/>
        <c:axId val="0"/>
      </c:bar3DChart>
      <c:catAx>
        <c:axId val="300465152"/>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00471040"/>
        <c:crosses val="autoZero"/>
        <c:auto val="1"/>
        <c:lblAlgn val="ctr"/>
        <c:lblOffset val="100"/>
        <c:noMultiLvlLbl val="0"/>
      </c:catAx>
      <c:valAx>
        <c:axId val="30047104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004651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15558</Words>
  <Characters>8869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stase</cp:lastModifiedBy>
  <cp:revision>1</cp:revision>
  <dcterms:created xsi:type="dcterms:W3CDTF">2015-03-03T19:18:00Z</dcterms:created>
  <dcterms:modified xsi:type="dcterms:W3CDTF">2015-03-03T19:19:00Z</dcterms:modified>
</cp:coreProperties>
</file>